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E2" w:rsidRPr="000B3FE2" w:rsidRDefault="000B3FE2" w:rsidP="000B3FE2">
      <w:pPr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0B3FE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(До пояснювальної записки)</w:t>
      </w:r>
    </w:p>
    <w:p w:rsidR="003F5355" w:rsidRPr="005D43C2" w:rsidRDefault="003F5355" w:rsidP="003F5355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3C2">
        <w:rPr>
          <w:rFonts w:ascii="Times New Roman" w:hAnsi="Times New Roman" w:cs="Times New Roman"/>
          <w:b/>
          <w:sz w:val="24"/>
          <w:szCs w:val="24"/>
        </w:rPr>
        <w:t>Місцеві бюджети та міжбюджетні відносини</w:t>
      </w:r>
    </w:p>
    <w:p w:rsidR="003F5355" w:rsidRPr="007611FB" w:rsidRDefault="003F5355" w:rsidP="003F5355">
      <w:pPr>
        <w:widowControl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>Обсяг фінансового ре</w:t>
      </w:r>
      <w:r>
        <w:rPr>
          <w:rFonts w:ascii="Times New Roman" w:hAnsi="Times New Roman" w:cs="Times New Roman"/>
          <w:sz w:val="24"/>
          <w:szCs w:val="24"/>
        </w:rPr>
        <w:t>сурсу місцевих бюджетів на 202</w:t>
      </w:r>
      <w:r w:rsidR="000B3F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611FB">
        <w:rPr>
          <w:rFonts w:ascii="Times New Roman" w:hAnsi="Times New Roman" w:cs="Times New Roman"/>
          <w:sz w:val="24"/>
          <w:szCs w:val="24"/>
        </w:rPr>
        <w:t xml:space="preserve">рік розраховано з урахуванням вимог Бюджетного та Податкового кодексів України, положень програми діяльності Кабінету Міністрів України, </w:t>
      </w:r>
      <w:r w:rsidR="000B3FE2">
        <w:rPr>
          <w:rFonts w:ascii="Times New Roman" w:hAnsi="Times New Roman" w:cs="Times New Roman"/>
          <w:sz w:val="24"/>
          <w:szCs w:val="24"/>
        </w:rPr>
        <w:t>Цілей сталого розвитку України на період до 2030 року, затверджених Указом Президента України від 30.09.2019 № 722/2019 та інших прогнозних та програмних документів економічного і соціального розвитку.</w:t>
      </w:r>
    </w:p>
    <w:p w:rsidR="003F5355" w:rsidRPr="007611FB" w:rsidRDefault="003F5355" w:rsidP="003F5355">
      <w:pPr>
        <w:widowControl w:val="0"/>
        <w:tabs>
          <w:tab w:val="left" w:pos="900"/>
        </w:tabs>
        <w:spacing w:before="120" w:after="12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>Під час визначення обсягу ресурсу місцевих бюджетів на 202</w:t>
      </w:r>
      <w:r w:rsidR="000B3FE2">
        <w:rPr>
          <w:rFonts w:ascii="Times New Roman" w:hAnsi="Times New Roman" w:cs="Times New Roman"/>
          <w:sz w:val="24"/>
          <w:szCs w:val="24"/>
        </w:rPr>
        <w:t>1</w:t>
      </w:r>
      <w:r w:rsidRPr="007611FB">
        <w:rPr>
          <w:rFonts w:ascii="Times New Roman" w:hAnsi="Times New Roman" w:cs="Times New Roman"/>
          <w:sz w:val="24"/>
          <w:szCs w:val="24"/>
        </w:rPr>
        <w:t xml:space="preserve"> рік враховано:</w:t>
      </w:r>
    </w:p>
    <w:p w:rsidR="003F5355" w:rsidRPr="007611FB" w:rsidRDefault="003F5355" w:rsidP="003F5355">
      <w:pPr>
        <w:widowControl w:val="0"/>
        <w:tabs>
          <w:tab w:val="left" w:pos="900"/>
        </w:tabs>
        <w:spacing w:before="120" w:after="120"/>
        <w:ind w:firstLine="567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611FB">
        <w:rPr>
          <w:rFonts w:ascii="Times New Roman" w:hAnsi="Times New Roman" w:cs="Times New Roman"/>
          <w:sz w:val="24"/>
          <w:szCs w:val="24"/>
        </w:rPr>
        <w:t>макропоказники</w:t>
      </w:r>
      <w:proofErr w:type="spellEnd"/>
      <w:r w:rsidRPr="007611FB">
        <w:rPr>
          <w:rFonts w:ascii="Times New Roman" w:hAnsi="Times New Roman" w:cs="Times New Roman"/>
          <w:sz w:val="24"/>
          <w:szCs w:val="24"/>
        </w:rPr>
        <w:t xml:space="preserve"> економічного і соціального розвитку України на 202</w:t>
      </w:r>
      <w:r w:rsidR="000B3FE2">
        <w:rPr>
          <w:rFonts w:ascii="Times New Roman" w:hAnsi="Times New Roman" w:cs="Times New Roman"/>
          <w:sz w:val="24"/>
          <w:szCs w:val="24"/>
        </w:rPr>
        <w:t>1</w:t>
      </w:r>
      <w:r w:rsidRPr="007611FB">
        <w:rPr>
          <w:rFonts w:ascii="Times New Roman" w:hAnsi="Times New Roman" w:cs="Times New Roman"/>
          <w:sz w:val="24"/>
          <w:szCs w:val="24"/>
        </w:rPr>
        <w:t> – 202</w:t>
      </w:r>
      <w:r w:rsidR="000B3FE2">
        <w:rPr>
          <w:rFonts w:ascii="Times New Roman" w:hAnsi="Times New Roman" w:cs="Times New Roman"/>
          <w:sz w:val="24"/>
          <w:szCs w:val="24"/>
        </w:rPr>
        <w:t>3</w:t>
      </w:r>
      <w:r w:rsidRPr="007611FB">
        <w:rPr>
          <w:rFonts w:ascii="Times New Roman" w:hAnsi="Times New Roman" w:cs="Times New Roman"/>
          <w:sz w:val="24"/>
          <w:szCs w:val="24"/>
        </w:rPr>
        <w:t xml:space="preserve"> роки, </w:t>
      </w:r>
      <w:r w:rsidRPr="007611FB">
        <w:rPr>
          <w:rFonts w:ascii="Times New Roman" w:hAnsi="Times New Roman" w:cs="Times New Roman"/>
          <w:i/>
          <w:sz w:val="24"/>
          <w:szCs w:val="24"/>
        </w:rPr>
        <w:t>затверджені</w:t>
      </w:r>
      <w:r w:rsidRPr="007611FB">
        <w:rPr>
          <w:rFonts w:ascii="Times New Roman" w:hAnsi="Times New Roman" w:cs="Times New Roman"/>
          <w:sz w:val="24"/>
          <w:szCs w:val="24"/>
        </w:rPr>
        <w:t xml:space="preserve"> </w:t>
      </w:r>
      <w:r w:rsidRPr="007611FB">
        <w:rPr>
          <w:rFonts w:ascii="Times New Roman" w:hAnsi="Times New Roman" w:cs="Times New Roman"/>
          <w:i/>
          <w:sz w:val="24"/>
          <w:szCs w:val="24"/>
        </w:rPr>
        <w:t>п</w:t>
      </w:r>
      <w:r w:rsidRPr="007611FB">
        <w:rPr>
          <w:rFonts w:ascii="Times New Roman" w:hAnsi="Times New Roman" w:cs="Times New Roman"/>
          <w:i/>
          <w:iCs/>
          <w:sz w:val="24"/>
          <w:szCs w:val="24"/>
        </w:rPr>
        <w:t xml:space="preserve">остановою Кабінету Міністрів України від </w:t>
      </w:r>
      <w:r w:rsidR="000B3FE2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7611FB">
        <w:rPr>
          <w:rFonts w:ascii="Times New Roman" w:hAnsi="Times New Roman" w:cs="Times New Roman"/>
          <w:i/>
          <w:sz w:val="24"/>
          <w:szCs w:val="24"/>
        </w:rPr>
        <w:t>.0</w:t>
      </w:r>
      <w:r w:rsidR="000B3FE2">
        <w:rPr>
          <w:rFonts w:ascii="Times New Roman" w:hAnsi="Times New Roman" w:cs="Times New Roman"/>
          <w:i/>
          <w:sz w:val="24"/>
          <w:szCs w:val="24"/>
        </w:rPr>
        <w:t>7</w:t>
      </w:r>
      <w:r w:rsidRPr="007611FB">
        <w:rPr>
          <w:rFonts w:ascii="Times New Roman" w:hAnsi="Times New Roman" w:cs="Times New Roman"/>
          <w:i/>
          <w:sz w:val="24"/>
          <w:szCs w:val="24"/>
        </w:rPr>
        <w:t>.20</w:t>
      </w:r>
      <w:r w:rsidR="000B3FE2">
        <w:rPr>
          <w:rFonts w:ascii="Times New Roman" w:hAnsi="Times New Roman" w:cs="Times New Roman"/>
          <w:i/>
          <w:sz w:val="24"/>
          <w:szCs w:val="24"/>
        </w:rPr>
        <w:t>20</w:t>
      </w:r>
      <w:r w:rsidRPr="007611FB">
        <w:rPr>
          <w:rFonts w:ascii="Times New Roman" w:hAnsi="Times New Roman" w:cs="Times New Roman"/>
          <w:i/>
          <w:sz w:val="24"/>
          <w:szCs w:val="24"/>
        </w:rPr>
        <w:t xml:space="preserve"> № </w:t>
      </w:r>
      <w:r w:rsidR="000B3FE2">
        <w:rPr>
          <w:rFonts w:ascii="Times New Roman" w:hAnsi="Times New Roman" w:cs="Times New Roman"/>
          <w:i/>
          <w:sz w:val="24"/>
          <w:szCs w:val="24"/>
        </w:rPr>
        <w:t>671</w:t>
      </w:r>
      <w:r w:rsidRPr="007611FB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:rsidR="003F5355" w:rsidRDefault="003F5355" w:rsidP="003F5355">
      <w:pPr>
        <w:widowControl w:val="0"/>
        <w:tabs>
          <w:tab w:val="left" w:pos="709"/>
        </w:tabs>
        <w:spacing w:before="120" w:after="12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 xml:space="preserve">– </w:t>
      </w:r>
      <w:r w:rsidR="000B3FE2">
        <w:rPr>
          <w:rFonts w:ascii="Times New Roman" w:hAnsi="Times New Roman" w:cs="Times New Roman"/>
          <w:sz w:val="24"/>
          <w:szCs w:val="24"/>
        </w:rPr>
        <w:t>проект змін до Податкового кодексу України щодо індексації ставок, визначених в абсолютних значеннях, з акцизного податку (крім тютюнових виробів), екологічного податку, рентних плат за спеціальне використання лісових ресурсів і води, рентної плати за користування надрами в цілях, не пов’язаних з видобуванням корисних копалин</w:t>
      </w:r>
      <w:r w:rsidR="009C24AB">
        <w:rPr>
          <w:rFonts w:ascii="Times New Roman" w:hAnsi="Times New Roman" w:cs="Times New Roman"/>
          <w:sz w:val="24"/>
          <w:szCs w:val="24"/>
        </w:rPr>
        <w:t>, на відповідні індекси споживчих цін, або цін виробників промислової продукції відповідно до постанови Кабінету Міністрів України від 29.03.2020 № 253</w:t>
      </w:r>
      <w:r w:rsidRPr="007611FB">
        <w:rPr>
          <w:rFonts w:ascii="Times New Roman" w:hAnsi="Times New Roman" w:cs="Times New Roman"/>
          <w:sz w:val="24"/>
          <w:szCs w:val="24"/>
        </w:rPr>
        <w:t>;</w:t>
      </w:r>
    </w:p>
    <w:p w:rsidR="009C24AB" w:rsidRPr="007611FB" w:rsidRDefault="009C24AB" w:rsidP="009C24AB">
      <w:pPr>
        <w:spacing w:before="120" w:after="12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 xml:space="preserve">– підвищення розміру прожиткового мінімуму, мінімальної заробітної плати та посадового окладу </w:t>
      </w:r>
      <w:r w:rsidRPr="007611FB">
        <w:rPr>
          <w:rFonts w:ascii="Times New Roman" w:hAnsi="Times New Roman" w:cs="Times New Roman"/>
          <w:i/>
          <w:sz w:val="24"/>
          <w:szCs w:val="24"/>
        </w:rPr>
        <w:t>(тарифної ставки)</w:t>
      </w:r>
      <w:r w:rsidRPr="007611FB">
        <w:rPr>
          <w:rFonts w:ascii="Times New Roman" w:hAnsi="Times New Roman" w:cs="Times New Roman"/>
          <w:sz w:val="24"/>
          <w:szCs w:val="24"/>
        </w:rPr>
        <w:t xml:space="preserve"> працівника I тарифного розряду Єдиної тарифної сітки;</w:t>
      </w:r>
    </w:p>
    <w:p w:rsidR="009C24AB" w:rsidRPr="007611FB" w:rsidRDefault="009C24AB" w:rsidP="009C24AB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 xml:space="preserve">– норми </w:t>
      </w:r>
      <w:r>
        <w:rPr>
          <w:rFonts w:ascii="Times New Roman" w:hAnsi="Times New Roman" w:cs="Times New Roman"/>
          <w:sz w:val="24"/>
          <w:szCs w:val="24"/>
        </w:rPr>
        <w:t>Закону України від 12.08.2014 № </w:t>
      </w:r>
      <w:r w:rsidRPr="007611FB">
        <w:rPr>
          <w:rFonts w:ascii="Times New Roman" w:hAnsi="Times New Roman" w:cs="Times New Roman"/>
          <w:sz w:val="24"/>
          <w:szCs w:val="24"/>
        </w:rPr>
        <w:t xml:space="preserve">1363-VII </w:t>
      </w:r>
      <w:r w:rsidRPr="005D43C2">
        <w:rPr>
          <w:rFonts w:ascii="Times New Roman" w:hAnsi="Times New Roman" w:cs="Times New Roman"/>
          <w:sz w:val="24"/>
          <w:szCs w:val="24"/>
        </w:rPr>
        <w:t>"</w:t>
      </w:r>
      <w:r w:rsidRPr="007611FB">
        <w:rPr>
          <w:rFonts w:ascii="Times New Roman" w:hAnsi="Times New Roman" w:cs="Times New Roman"/>
          <w:sz w:val="24"/>
          <w:szCs w:val="24"/>
        </w:rPr>
        <w:t xml:space="preserve">Про створення вільної економічної зони </w:t>
      </w:r>
      <w:r w:rsidRPr="005D43C2">
        <w:rPr>
          <w:rFonts w:ascii="Times New Roman" w:hAnsi="Times New Roman" w:cs="Times New Roman"/>
          <w:sz w:val="24"/>
          <w:szCs w:val="24"/>
        </w:rPr>
        <w:t>"</w:t>
      </w:r>
      <w:r w:rsidRPr="007611FB">
        <w:rPr>
          <w:rFonts w:ascii="Times New Roman" w:hAnsi="Times New Roman" w:cs="Times New Roman"/>
          <w:sz w:val="24"/>
          <w:szCs w:val="24"/>
        </w:rPr>
        <w:t>Крим</w:t>
      </w:r>
      <w:r w:rsidRPr="005D43C2">
        <w:rPr>
          <w:rFonts w:ascii="Times New Roman" w:hAnsi="Times New Roman" w:cs="Times New Roman"/>
          <w:sz w:val="24"/>
          <w:szCs w:val="24"/>
        </w:rPr>
        <w:t>"</w:t>
      </w:r>
      <w:r w:rsidRPr="007611FB">
        <w:rPr>
          <w:rFonts w:ascii="Times New Roman" w:hAnsi="Times New Roman" w:cs="Times New Roman"/>
          <w:sz w:val="24"/>
          <w:szCs w:val="24"/>
        </w:rPr>
        <w:t xml:space="preserve"> та </w:t>
      </w:r>
      <w:r w:rsidR="006505DF">
        <w:rPr>
          <w:rFonts w:ascii="Times New Roman" w:hAnsi="Times New Roman" w:cs="Times New Roman"/>
          <w:sz w:val="24"/>
          <w:szCs w:val="24"/>
        </w:rPr>
        <w:t xml:space="preserve"> </w:t>
      </w:r>
      <w:r w:rsidRPr="007611FB">
        <w:rPr>
          <w:rFonts w:ascii="Times New Roman" w:hAnsi="Times New Roman" w:cs="Times New Roman"/>
          <w:sz w:val="24"/>
          <w:szCs w:val="24"/>
        </w:rPr>
        <w:t>про особливості здійснення економічної діяльності на тимчасово окупованій території України</w:t>
      </w:r>
      <w:r w:rsidRPr="005D43C2">
        <w:rPr>
          <w:rFonts w:ascii="Times New Roman" w:hAnsi="Times New Roman" w:cs="Times New Roman"/>
          <w:sz w:val="24"/>
          <w:szCs w:val="24"/>
        </w:rPr>
        <w:t>"</w:t>
      </w:r>
      <w:r w:rsidRPr="007611FB">
        <w:rPr>
          <w:rFonts w:ascii="Times New Roman" w:hAnsi="Times New Roman" w:cs="Times New Roman"/>
          <w:sz w:val="24"/>
          <w:szCs w:val="24"/>
        </w:rPr>
        <w:t>;</w:t>
      </w:r>
    </w:p>
    <w:p w:rsidR="009C24AB" w:rsidRDefault="009C24AB" w:rsidP="003F5355">
      <w:pPr>
        <w:widowControl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>– положення постанови Кабінету Міні</w:t>
      </w:r>
      <w:r>
        <w:rPr>
          <w:rFonts w:ascii="Times New Roman" w:hAnsi="Times New Roman" w:cs="Times New Roman"/>
          <w:sz w:val="24"/>
          <w:szCs w:val="24"/>
        </w:rPr>
        <w:t>стрів України від 07.11.2014  № </w:t>
      </w:r>
      <w:r w:rsidRPr="007611FB">
        <w:rPr>
          <w:rFonts w:ascii="Times New Roman" w:hAnsi="Times New Roman" w:cs="Times New Roman"/>
          <w:sz w:val="24"/>
          <w:szCs w:val="24"/>
        </w:rPr>
        <w:t xml:space="preserve">595 </w:t>
      </w:r>
      <w:r w:rsidRPr="005D43C2">
        <w:rPr>
          <w:rFonts w:ascii="Times New Roman" w:hAnsi="Times New Roman" w:cs="Times New Roman"/>
          <w:sz w:val="24"/>
          <w:szCs w:val="24"/>
        </w:rPr>
        <w:t>"</w:t>
      </w:r>
      <w:r w:rsidRPr="007611FB">
        <w:rPr>
          <w:rFonts w:ascii="Times New Roman" w:hAnsi="Times New Roman" w:cs="Times New Roman"/>
          <w:sz w:val="24"/>
          <w:szCs w:val="24"/>
        </w:rPr>
        <w:t>Деякі питання фінансування бюджетних установ, здійснення соціальних виплат населенню та надання фінансової підтримки окремим підприємствам і організаціям Донецької та Луганської областей, а також інших платежів з рахунків, відкритих в органах Казначейства</w:t>
      </w:r>
      <w:r w:rsidRPr="005D43C2">
        <w:rPr>
          <w:rFonts w:ascii="Times New Roman" w:hAnsi="Times New Roman" w:cs="Times New Roman"/>
          <w:sz w:val="24"/>
          <w:szCs w:val="24"/>
        </w:rPr>
        <w:t>"</w:t>
      </w:r>
      <w:r w:rsidRPr="007611FB">
        <w:rPr>
          <w:rFonts w:ascii="Times New Roman" w:hAnsi="Times New Roman" w:cs="Times New Roman"/>
          <w:sz w:val="24"/>
          <w:szCs w:val="24"/>
        </w:rPr>
        <w:t xml:space="preserve"> та розпорядження Кабінету Мін</w:t>
      </w:r>
      <w:r>
        <w:rPr>
          <w:rFonts w:ascii="Times New Roman" w:hAnsi="Times New Roman" w:cs="Times New Roman"/>
          <w:sz w:val="24"/>
          <w:szCs w:val="24"/>
        </w:rPr>
        <w:t>істрів України від 07.11.2014 № </w:t>
      </w:r>
      <w:r w:rsidRPr="007611FB">
        <w:rPr>
          <w:rFonts w:ascii="Times New Roman" w:hAnsi="Times New Roman" w:cs="Times New Roman"/>
          <w:sz w:val="24"/>
          <w:szCs w:val="24"/>
        </w:rPr>
        <w:t xml:space="preserve">1085-р </w:t>
      </w:r>
      <w:r w:rsidRPr="005D43C2">
        <w:rPr>
          <w:rFonts w:ascii="Times New Roman" w:hAnsi="Times New Roman" w:cs="Times New Roman"/>
          <w:sz w:val="24"/>
          <w:szCs w:val="24"/>
        </w:rPr>
        <w:t>"</w:t>
      </w:r>
      <w:r w:rsidRPr="007611FB">
        <w:rPr>
          <w:rFonts w:ascii="Times New Roman" w:hAnsi="Times New Roman" w:cs="Times New Roman"/>
          <w:sz w:val="24"/>
          <w:szCs w:val="24"/>
        </w:rPr>
        <w:t>Про затвердження переліку населених пунктів, на території яких органи державної влади тимчасово не здійснюють або здійснюють не в п</w:t>
      </w:r>
      <w:r>
        <w:rPr>
          <w:rFonts w:ascii="Times New Roman" w:hAnsi="Times New Roman" w:cs="Times New Roman"/>
          <w:sz w:val="24"/>
          <w:szCs w:val="24"/>
        </w:rPr>
        <w:t>овному обсязі свої повноваження</w:t>
      </w:r>
      <w:r w:rsidRPr="005D43C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5355" w:rsidRPr="00765333" w:rsidRDefault="003F5355" w:rsidP="003F5355">
      <w:pPr>
        <w:tabs>
          <w:tab w:val="left" w:pos="1134"/>
        </w:tabs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333">
        <w:rPr>
          <w:rFonts w:ascii="Times New Roman" w:hAnsi="Times New Roman" w:cs="Times New Roman"/>
          <w:sz w:val="24"/>
          <w:szCs w:val="24"/>
        </w:rPr>
        <w:t>Загалом ресурс місцевих бюджетів на 202</w:t>
      </w:r>
      <w:r w:rsidR="009C24AB" w:rsidRPr="00765333">
        <w:rPr>
          <w:rFonts w:ascii="Times New Roman" w:hAnsi="Times New Roman" w:cs="Times New Roman"/>
          <w:sz w:val="24"/>
          <w:szCs w:val="24"/>
        </w:rPr>
        <w:t>1</w:t>
      </w:r>
      <w:r w:rsidRPr="00765333">
        <w:rPr>
          <w:rFonts w:ascii="Times New Roman" w:hAnsi="Times New Roman" w:cs="Times New Roman"/>
          <w:sz w:val="24"/>
          <w:szCs w:val="24"/>
        </w:rPr>
        <w:t xml:space="preserve"> рік становить </w:t>
      </w:r>
      <w:r w:rsidR="00D01510" w:rsidRPr="00765333">
        <w:rPr>
          <w:rFonts w:ascii="Times New Roman" w:hAnsi="Times New Roman" w:cs="Times New Roman"/>
          <w:sz w:val="24"/>
          <w:szCs w:val="24"/>
        </w:rPr>
        <w:t>509</w:t>
      </w:r>
      <w:r w:rsidRPr="00765333">
        <w:rPr>
          <w:rFonts w:ascii="Times New Roman" w:hAnsi="Times New Roman" w:cs="Times New Roman"/>
          <w:sz w:val="24"/>
          <w:szCs w:val="24"/>
        </w:rPr>
        <w:t> </w:t>
      </w:r>
      <w:r w:rsidR="00D01510" w:rsidRPr="00765333">
        <w:rPr>
          <w:rFonts w:ascii="Times New Roman" w:hAnsi="Times New Roman" w:cs="Times New Roman"/>
          <w:sz w:val="24"/>
          <w:szCs w:val="24"/>
        </w:rPr>
        <w:t>586</w:t>
      </w:r>
      <w:r w:rsidRPr="00765333">
        <w:rPr>
          <w:rFonts w:ascii="Times New Roman" w:hAnsi="Times New Roman" w:cs="Times New Roman"/>
          <w:sz w:val="24"/>
          <w:szCs w:val="24"/>
        </w:rPr>
        <w:t>,</w:t>
      </w:r>
      <w:r w:rsidR="00D01510" w:rsidRPr="00765333">
        <w:rPr>
          <w:rFonts w:ascii="Times New Roman" w:hAnsi="Times New Roman" w:cs="Times New Roman"/>
          <w:sz w:val="24"/>
          <w:szCs w:val="24"/>
        </w:rPr>
        <w:t>8</w:t>
      </w:r>
      <w:r w:rsidRPr="00765333">
        <w:rPr>
          <w:rFonts w:ascii="Times New Roman" w:hAnsi="Times New Roman" w:cs="Times New Roman"/>
          <w:sz w:val="24"/>
          <w:szCs w:val="24"/>
        </w:rPr>
        <w:t> млн грн, в тому числі за:</w:t>
      </w:r>
    </w:p>
    <w:p w:rsidR="003F5355" w:rsidRPr="00765333" w:rsidRDefault="003F5355" w:rsidP="003F5355">
      <w:pPr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333">
        <w:rPr>
          <w:rFonts w:ascii="Times New Roman" w:hAnsi="Times New Roman" w:cs="Times New Roman"/>
          <w:sz w:val="24"/>
          <w:szCs w:val="24"/>
        </w:rPr>
        <w:t>загальним фондом – 4</w:t>
      </w:r>
      <w:r w:rsidR="00D01510" w:rsidRPr="00765333">
        <w:rPr>
          <w:rFonts w:ascii="Times New Roman" w:hAnsi="Times New Roman" w:cs="Times New Roman"/>
          <w:sz w:val="24"/>
          <w:szCs w:val="24"/>
        </w:rPr>
        <w:t>62</w:t>
      </w:r>
      <w:r w:rsidRPr="00765333">
        <w:rPr>
          <w:rFonts w:ascii="Times New Roman" w:hAnsi="Times New Roman" w:cs="Times New Roman"/>
          <w:sz w:val="24"/>
          <w:szCs w:val="24"/>
        </w:rPr>
        <w:t> </w:t>
      </w:r>
      <w:r w:rsidR="00D01510" w:rsidRPr="00765333">
        <w:rPr>
          <w:rFonts w:ascii="Times New Roman" w:hAnsi="Times New Roman" w:cs="Times New Roman"/>
          <w:sz w:val="24"/>
          <w:szCs w:val="24"/>
        </w:rPr>
        <w:t>179</w:t>
      </w:r>
      <w:r w:rsidRPr="00765333">
        <w:rPr>
          <w:rFonts w:ascii="Times New Roman" w:hAnsi="Times New Roman" w:cs="Times New Roman"/>
          <w:sz w:val="24"/>
          <w:szCs w:val="24"/>
        </w:rPr>
        <w:t>,</w:t>
      </w:r>
      <w:r w:rsidR="00D01510" w:rsidRPr="00765333">
        <w:rPr>
          <w:rFonts w:ascii="Times New Roman" w:hAnsi="Times New Roman" w:cs="Times New Roman"/>
          <w:sz w:val="24"/>
          <w:szCs w:val="24"/>
        </w:rPr>
        <w:t>2</w:t>
      </w:r>
      <w:r w:rsidRPr="00765333">
        <w:rPr>
          <w:rFonts w:ascii="Times New Roman" w:hAnsi="Times New Roman" w:cs="Times New Roman"/>
          <w:sz w:val="24"/>
          <w:szCs w:val="24"/>
        </w:rPr>
        <w:t> млн грн;</w:t>
      </w:r>
    </w:p>
    <w:p w:rsidR="003F5355" w:rsidRPr="00765333" w:rsidRDefault="003F5355" w:rsidP="003F5355">
      <w:pPr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333">
        <w:rPr>
          <w:rFonts w:ascii="Times New Roman" w:hAnsi="Times New Roman" w:cs="Times New Roman"/>
          <w:sz w:val="24"/>
          <w:szCs w:val="24"/>
        </w:rPr>
        <w:t xml:space="preserve">спеціальним фондом – </w:t>
      </w:r>
      <w:r w:rsidR="0082757F" w:rsidRPr="00765333">
        <w:rPr>
          <w:rFonts w:ascii="Times New Roman" w:hAnsi="Times New Roman" w:cs="Times New Roman"/>
          <w:sz w:val="24"/>
          <w:szCs w:val="24"/>
        </w:rPr>
        <w:t>47</w:t>
      </w:r>
      <w:r w:rsidRPr="00765333">
        <w:rPr>
          <w:rFonts w:ascii="Times New Roman" w:hAnsi="Times New Roman" w:cs="Times New Roman"/>
          <w:sz w:val="24"/>
          <w:szCs w:val="24"/>
        </w:rPr>
        <w:t> </w:t>
      </w:r>
      <w:r w:rsidR="0082757F" w:rsidRPr="00765333">
        <w:rPr>
          <w:rFonts w:ascii="Times New Roman" w:hAnsi="Times New Roman" w:cs="Times New Roman"/>
          <w:sz w:val="24"/>
          <w:szCs w:val="24"/>
        </w:rPr>
        <w:t>407</w:t>
      </w:r>
      <w:r w:rsidRPr="00765333">
        <w:rPr>
          <w:rFonts w:ascii="Times New Roman" w:hAnsi="Times New Roman" w:cs="Times New Roman"/>
          <w:sz w:val="24"/>
          <w:szCs w:val="24"/>
        </w:rPr>
        <w:t>,</w:t>
      </w:r>
      <w:r w:rsidR="0082757F" w:rsidRPr="00765333">
        <w:rPr>
          <w:rFonts w:ascii="Times New Roman" w:hAnsi="Times New Roman" w:cs="Times New Roman"/>
          <w:sz w:val="24"/>
          <w:szCs w:val="24"/>
        </w:rPr>
        <w:t>6</w:t>
      </w:r>
      <w:r w:rsidRPr="00765333">
        <w:rPr>
          <w:rFonts w:ascii="Times New Roman" w:hAnsi="Times New Roman" w:cs="Times New Roman"/>
          <w:sz w:val="24"/>
          <w:szCs w:val="24"/>
        </w:rPr>
        <w:t> млн гривень.</w:t>
      </w:r>
    </w:p>
    <w:p w:rsidR="003F5355" w:rsidRPr="007611FB" w:rsidRDefault="003F5355" w:rsidP="003F5355">
      <w:pPr>
        <w:tabs>
          <w:tab w:val="left" w:pos="993"/>
        </w:tabs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333">
        <w:rPr>
          <w:rFonts w:ascii="Times New Roman" w:hAnsi="Times New Roman" w:cs="Times New Roman"/>
          <w:sz w:val="24"/>
          <w:szCs w:val="24"/>
        </w:rPr>
        <w:t>Прогнозний обсяг доходів місцевих бюджетів визначено у сумі 3</w:t>
      </w:r>
      <w:r w:rsidR="0082757F" w:rsidRPr="00765333">
        <w:rPr>
          <w:rFonts w:ascii="Times New Roman" w:hAnsi="Times New Roman" w:cs="Times New Roman"/>
          <w:sz w:val="24"/>
          <w:szCs w:val="24"/>
        </w:rPr>
        <w:t>47</w:t>
      </w:r>
      <w:r w:rsidRPr="00765333">
        <w:rPr>
          <w:rFonts w:ascii="Times New Roman" w:hAnsi="Times New Roman" w:cs="Times New Roman"/>
          <w:sz w:val="24"/>
          <w:szCs w:val="24"/>
        </w:rPr>
        <w:t> </w:t>
      </w:r>
      <w:r w:rsidR="0082757F" w:rsidRPr="00765333">
        <w:rPr>
          <w:rFonts w:ascii="Times New Roman" w:hAnsi="Times New Roman" w:cs="Times New Roman"/>
          <w:sz w:val="24"/>
          <w:szCs w:val="24"/>
        </w:rPr>
        <w:t>876</w:t>
      </w:r>
      <w:r w:rsidRPr="00765333">
        <w:rPr>
          <w:rFonts w:ascii="Times New Roman" w:hAnsi="Times New Roman" w:cs="Times New Roman"/>
          <w:sz w:val="24"/>
          <w:szCs w:val="24"/>
        </w:rPr>
        <w:t>,</w:t>
      </w:r>
      <w:r w:rsidR="0082757F" w:rsidRPr="00765333">
        <w:rPr>
          <w:rFonts w:ascii="Times New Roman" w:hAnsi="Times New Roman" w:cs="Times New Roman"/>
          <w:sz w:val="24"/>
          <w:szCs w:val="24"/>
        </w:rPr>
        <w:t>5</w:t>
      </w:r>
      <w:r w:rsidRPr="00765333">
        <w:rPr>
          <w:rFonts w:ascii="Times New Roman" w:hAnsi="Times New Roman" w:cs="Times New Roman"/>
          <w:sz w:val="24"/>
          <w:szCs w:val="24"/>
        </w:rPr>
        <w:t> млн грн, у тому</w:t>
      </w:r>
      <w:r w:rsidRPr="007611FB">
        <w:rPr>
          <w:rFonts w:ascii="Times New Roman" w:hAnsi="Times New Roman" w:cs="Times New Roman"/>
          <w:sz w:val="24"/>
          <w:szCs w:val="24"/>
        </w:rPr>
        <w:t xml:space="preserve"> числі за:</w:t>
      </w:r>
    </w:p>
    <w:p w:rsidR="003F5355" w:rsidRPr="007611FB" w:rsidRDefault="003F5355" w:rsidP="003F5355">
      <w:pPr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 xml:space="preserve">загальним фондом </w:t>
      </w:r>
      <w:r w:rsidRPr="00761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82757F">
        <w:rPr>
          <w:rFonts w:ascii="Times New Roman" w:hAnsi="Times New Roman" w:cs="Times New Roman"/>
          <w:sz w:val="24"/>
          <w:szCs w:val="24"/>
          <w:shd w:val="clear" w:color="auto" w:fill="FFFFFF"/>
        </w:rPr>
        <w:t>324</w:t>
      </w:r>
      <w:r w:rsidRPr="0082757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2757F">
        <w:rPr>
          <w:rFonts w:ascii="Times New Roman" w:hAnsi="Times New Roman" w:cs="Times New Roman"/>
          <w:sz w:val="24"/>
          <w:szCs w:val="24"/>
          <w:shd w:val="clear" w:color="auto" w:fill="FFFFFF"/>
        </w:rPr>
        <w:t>877</w:t>
      </w:r>
      <w:r w:rsidRPr="0082757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2757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7611FB">
        <w:rPr>
          <w:rFonts w:ascii="Times New Roman" w:hAnsi="Times New Roman" w:cs="Times New Roman"/>
          <w:sz w:val="24"/>
          <w:szCs w:val="24"/>
          <w:shd w:val="clear" w:color="auto" w:fill="FFFFFF"/>
        </w:rPr>
        <w:t> млн </w:t>
      </w:r>
      <w:r w:rsidRPr="007611FB">
        <w:rPr>
          <w:rFonts w:ascii="Times New Roman" w:hAnsi="Times New Roman" w:cs="Times New Roman"/>
          <w:sz w:val="24"/>
          <w:szCs w:val="24"/>
        </w:rPr>
        <w:t>грн;</w:t>
      </w:r>
    </w:p>
    <w:p w:rsidR="003F5355" w:rsidRPr="007611FB" w:rsidRDefault="003F5355" w:rsidP="003F5355">
      <w:pPr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 xml:space="preserve">спеціальним фондом </w:t>
      </w:r>
      <w:r w:rsidRPr="0082757F">
        <w:rPr>
          <w:rFonts w:ascii="Times New Roman" w:hAnsi="Times New Roman" w:cs="Times New Roman"/>
          <w:sz w:val="24"/>
          <w:szCs w:val="24"/>
        </w:rPr>
        <w:t xml:space="preserve">– </w:t>
      </w:r>
      <w:r w:rsidRPr="0082757F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2757F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82757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2757F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82757F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82757F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82757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2757F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7611FB">
        <w:rPr>
          <w:rFonts w:ascii="Times New Roman" w:hAnsi="Times New Roman" w:cs="Times New Roman"/>
          <w:sz w:val="24"/>
          <w:szCs w:val="24"/>
          <w:shd w:val="clear" w:color="auto" w:fill="FFFFFF"/>
        </w:rPr>
        <w:t> млн </w:t>
      </w:r>
      <w:r w:rsidRPr="007611FB">
        <w:rPr>
          <w:rFonts w:ascii="Times New Roman" w:hAnsi="Times New Roman" w:cs="Times New Roman"/>
          <w:sz w:val="24"/>
          <w:szCs w:val="24"/>
        </w:rPr>
        <w:t>гривень.</w:t>
      </w:r>
    </w:p>
    <w:p w:rsidR="003F5355" w:rsidRPr="007611FB" w:rsidRDefault="003F5355" w:rsidP="003F5355">
      <w:pPr>
        <w:tabs>
          <w:tab w:val="left" w:pos="567"/>
          <w:tab w:val="left" w:pos="709"/>
        </w:tabs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>Під час проведення оцінки дохідної частини місцевих бюджетів було враховано:</w:t>
      </w:r>
    </w:p>
    <w:p w:rsidR="003F5355" w:rsidRPr="007611FB" w:rsidRDefault="003F5355" w:rsidP="003F5355">
      <w:pPr>
        <w:numPr>
          <w:ilvl w:val="0"/>
          <w:numId w:val="2"/>
        </w:numPr>
        <w:tabs>
          <w:tab w:val="clear" w:pos="1340"/>
          <w:tab w:val="num" w:pos="0"/>
          <w:tab w:val="left" w:pos="993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11FB">
        <w:rPr>
          <w:rFonts w:ascii="Times New Roman" w:hAnsi="Times New Roman" w:cs="Times New Roman"/>
          <w:i/>
          <w:iCs/>
          <w:sz w:val="24"/>
          <w:szCs w:val="24"/>
        </w:rPr>
        <w:t>статистичні показники, які використовуються при розрахунку прогнозних надходжень податків та зборів, зокрема за 201</w:t>
      </w:r>
      <w:r w:rsidR="009C24AB">
        <w:rPr>
          <w:rFonts w:ascii="Times New Roman" w:hAnsi="Times New Roman" w:cs="Times New Roman"/>
          <w:i/>
          <w:iCs/>
          <w:sz w:val="24"/>
          <w:szCs w:val="24"/>
        </w:rPr>
        <w:t>9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611FB">
        <w:rPr>
          <w:rFonts w:ascii="Times New Roman" w:hAnsi="Times New Roman" w:cs="Times New Roman"/>
          <w:i/>
          <w:iCs/>
          <w:sz w:val="24"/>
          <w:szCs w:val="24"/>
        </w:rPr>
        <w:t xml:space="preserve">рік, очікувані </w:t>
      </w:r>
      <w:proofErr w:type="spellStart"/>
      <w:r w:rsidRPr="007611FB">
        <w:rPr>
          <w:rFonts w:ascii="Times New Roman" w:hAnsi="Times New Roman" w:cs="Times New Roman"/>
          <w:i/>
          <w:iCs/>
          <w:sz w:val="24"/>
          <w:szCs w:val="24"/>
        </w:rPr>
        <w:t>макропоказники</w:t>
      </w:r>
      <w:proofErr w:type="spellEnd"/>
      <w:r w:rsidRPr="007611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1FB">
        <w:rPr>
          <w:rFonts w:ascii="Times New Roman" w:hAnsi="Times New Roman" w:cs="Times New Roman"/>
          <w:i/>
          <w:iCs/>
          <w:sz w:val="24"/>
          <w:szCs w:val="24"/>
        </w:rPr>
        <w:t>Мінекономрозвитку</w:t>
      </w:r>
      <w:proofErr w:type="spellEnd"/>
      <w:r w:rsidRPr="007611FB">
        <w:rPr>
          <w:rFonts w:ascii="Times New Roman" w:hAnsi="Times New Roman" w:cs="Times New Roman"/>
          <w:i/>
          <w:iCs/>
          <w:sz w:val="24"/>
          <w:szCs w:val="24"/>
        </w:rPr>
        <w:t xml:space="preserve"> на 20</w:t>
      </w:r>
      <w:r w:rsidR="009C24AB">
        <w:rPr>
          <w:rFonts w:ascii="Times New Roman" w:hAnsi="Times New Roman" w:cs="Times New Roman"/>
          <w:i/>
          <w:iCs/>
          <w:sz w:val="24"/>
          <w:szCs w:val="24"/>
        </w:rPr>
        <w:t>20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611FB">
        <w:rPr>
          <w:rFonts w:ascii="Times New Roman" w:hAnsi="Times New Roman" w:cs="Times New Roman"/>
          <w:i/>
          <w:iCs/>
          <w:sz w:val="24"/>
          <w:szCs w:val="24"/>
        </w:rPr>
        <w:t>рік та прогнозні на 202</w:t>
      </w:r>
      <w:r w:rsidR="009C24AB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7611FB">
        <w:rPr>
          <w:rFonts w:ascii="Times New Roman" w:hAnsi="Times New Roman" w:cs="Times New Roman"/>
          <w:i/>
          <w:iCs/>
          <w:sz w:val="24"/>
          <w:szCs w:val="24"/>
        </w:rPr>
        <w:t> рік</w:t>
      </w:r>
      <w:r w:rsidR="009C24A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611FB">
        <w:rPr>
          <w:rFonts w:ascii="Times New Roman" w:hAnsi="Times New Roman" w:cs="Times New Roman"/>
          <w:i/>
          <w:iCs/>
          <w:sz w:val="24"/>
          <w:szCs w:val="24"/>
        </w:rPr>
        <w:t xml:space="preserve"> затверджені постановою Кабінету Міністрів України від </w:t>
      </w:r>
      <w:r w:rsidR="009C24AB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7611FB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9C24AB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7611FB">
        <w:rPr>
          <w:rFonts w:ascii="Times New Roman" w:hAnsi="Times New Roman" w:cs="Times New Roman"/>
          <w:i/>
          <w:iCs/>
          <w:sz w:val="24"/>
          <w:szCs w:val="24"/>
        </w:rPr>
        <w:t>.20</w:t>
      </w:r>
      <w:r w:rsidR="009C24AB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7611FB">
        <w:rPr>
          <w:rFonts w:ascii="Times New Roman" w:hAnsi="Times New Roman" w:cs="Times New Roman"/>
          <w:i/>
          <w:iCs/>
          <w:sz w:val="24"/>
          <w:szCs w:val="24"/>
        </w:rPr>
        <w:t xml:space="preserve"> № </w:t>
      </w:r>
      <w:r w:rsidR="009C24AB">
        <w:rPr>
          <w:rFonts w:ascii="Times New Roman" w:hAnsi="Times New Roman" w:cs="Times New Roman"/>
          <w:i/>
          <w:iCs/>
          <w:sz w:val="24"/>
          <w:szCs w:val="24"/>
        </w:rPr>
        <w:t>671</w:t>
      </w:r>
      <w:r w:rsidRPr="007611FB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3F5355" w:rsidRPr="007611FB" w:rsidRDefault="003F5355" w:rsidP="003F5355">
      <w:pPr>
        <w:numPr>
          <w:ilvl w:val="0"/>
          <w:numId w:val="2"/>
        </w:numPr>
        <w:tabs>
          <w:tab w:val="clear" w:pos="1340"/>
          <w:tab w:val="num" w:pos="0"/>
          <w:tab w:val="left" w:pos="993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11FB">
        <w:rPr>
          <w:rFonts w:ascii="Times New Roman" w:hAnsi="Times New Roman" w:cs="Times New Roman"/>
          <w:i/>
          <w:iCs/>
          <w:sz w:val="24"/>
          <w:szCs w:val="24"/>
        </w:rPr>
        <w:t>фактичне виконання дохідної частини бюджету за результатами 201</w:t>
      </w:r>
      <w:r w:rsidR="009C24AB">
        <w:rPr>
          <w:rFonts w:ascii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611FB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611FB">
        <w:rPr>
          <w:rFonts w:ascii="Times New Roman" w:hAnsi="Times New Roman" w:cs="Times New Roman"/>
          <w:i/>
          <w:iCs/>
          <w:sz w:val="24"/>
          <w:szCs w:val="24"/>
        </w:rPr>
        <w:t>201</w:t>
      </w:r>
      <w:r w:rsidR="009C24AB">
        <w:rPr>
          <w:rFonts w:ascii="Times New Roman" w:hAnsi="Times New Roman" w:cs="Times New Roman"/>
          <w:i/>
          <w:iCs/>
          <w:sz w:val="24"/>
          <w:szCs w:val="24"/>
        </w:rPr>
        <w:t>9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611FB">
        <w:rPr>
          <w:rFonts w:ascii="Times New Roman" w:hAnsi="Times New Roman" w:cs="Times New Roman"/>
          <w:i/>
          <w:iCs/>
          <w:sz w:val="24"/>
          <w:szCs w:val="24"/>
        </w:rPr>
        <w:t>років та 7 місяців 20</w:t>
      </w:r>
      <w:r w:rsidR="009C24AB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7611FB">
        <w:rPr>
          <w:rFonts w:ascii="Times New Roman" w:hAnsi="Times New Roman" w:cs="Times New Roman"/>
          <w:i/>
          <w:iCs/>
          <w:sz w:val="24"/>
          <w:szCs w:val="24"/>
        </w:rPr>
        <w:t xml:space="preserve"> року.</w:t>
      </w:r>
    </w:p>
    <w:p w:rsidR="003F5355" w:rsidRPr="007611FB" w:rsidRDefault="003F5355" w:rsidP="003F5355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З урахуванням реверсної дотації, яка перераховується місцевими бюджетами до державного бюджету,</w:t>
      </w:r>
      <w:r w:rsidRPr="007611FB">
        <w:rPr>
          <w:rFonts w:ascii="Times New Roman" w:hAnsi="Times New Roman" w:cs="Times New Roman"/>
          <w:bCs/>
          <w:sz w:val="24"/>
          <w:szCs w:val="24"/>
        </w:rPr>
        <w:t xml:space="preserve"> доходи місцевих бюджетів на 20</w:t>
      </w:r>
      <w:r w:rsidRPr="003F5355">
        <w:rPr>
          <w:rFonts w:ascii="Times New Roman" w:hAnsi="Times New Roman" w:cs="Times New Roman"/>
          <w:bCs/>
          <w:sz w:val="24"/>
          <w:szCs w:val="24"/>
          <w:lang w:val="ru-RU"/>
        </w:rPr>
        <w:t>2</w:t>
      </w:r>
      <w:r w:rsidR="009C24AB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7611FB">
        <w:rPr>
          <w:rFonts w:ascii="Times New Roman" w:hAnsi="Times New Roman" w:cs="Times New Roman"/>
          <w:bCs/>
          <w:sz w:val="24"/>
          <w:szCs w:val="24"/>
        </w:rPr>
        <w:t>рік</w:t>
      </w:r>
      <w:r w:rsidRPr="007611FB">
        <w:rPr>
          <w:rFonts w:ascii="Times New Roman" w:hAnsi="Times New Roman" w:cs="Times New Roman"/>
          <w:sz w:val="24"/>
          <w:szCs w:val="24"/>
        </w:rPr>
        <w:t xml:space="preserve"> становитимуть </w:t>
      </w:r>
      <w:r w:rsidRPr="00FD3780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="00FD3780">
        <w:rPr>
          <w:rFonts w:ascii="Times New Roman" w:hAnsi="Times New Roman" w:cs="Times New Roman"/>
          <w:bCs/>
          <w:sz w:val="24"/>
          <w:szCs w:val="24"/>
          <w:lang w:val="ru-RU"/>
        </w:rPr>
        <w:t>37</w:t>
      </w:r>
      <w:r w:rsidRPr="00FD3780">
        <w:rPr>
          <w:rFonts w:ascii="Times New Roman" w:hAnsi="Times New Roman" w:cs="Times New Roman"/>
          <w:bCs/>
          <w:sz w:val="24"/>
          <w:szCs w:val="24"/>
        </w:rPr>
        <w:t> </w:t>
      </w:r>
      <w:r w:rsidR="00FD3780">
        <w:rPr>
          <w:rFonts w:ascii="Times New Roman" w:hAnsi="Times New Roman" w:cs="Times New Roman"/>
          <w:bCs/>
          <w:sz w:val="24"/>
          <w:szCs w:val="24"/>
        </w:rPr>
        <w:t>493</w:t>
      </w:r>
      <w:r w:rsidRPr="00FD3780">
        <w:rPr>
          <w:rFonts w:ascii="Times New Roman" w:hAnsi="Times New Roman" w:cs="Times New Roman"/>
          <w:bCs/>
          <w:sz w:val="24"/>
          <w:szCs w:val="24"/>
        </w:rPr>
        <w:t>,</w:t>
      </w:r>
      <w:r w:rsidR="00FD3780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7611FB">
        <w:rPr>
          <w:rFonts w:ascii="Times New Roman" w:hAnsi="Times New Roman" w:cs="Times New Roman"/>
          <w:bCs/>
          <w:sz w:val="24"/>
          <w:szCs w:val="24"/>
        </w:rPr>
        <w:t>млн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7611FB">
        <w:rPr>
          <w:rFonts w:ascii="Times New Roman" w:hAnsi="Times New Roman" w:cs="Times New Roman"/>
          <w:bCs/>
          <w:sz w:val="24"/>
          <w:szCs w:val="24"/>
        </w:rPr>
        <w:t xml:space="preserve">грн, </w:t>
      </w:r>
      <w:r w:rsidRPr="007611FB">
        <w:rPr>
          <w:rFonts w:ascii="Times New Roman" w:hAnsi="Times New Roman" w:cs="Times New Roman"/>
          <w:sz w:val="24"/>
          <w:szCs w:val="24"/>
        </w:rPr>
        <w:t>у тому числі:</w:t>
      </w:r>
    </w:p>
    <w:p w:rsidR="003F5355" w:rsidRPr="007611FB" w:rsidRDefault="003F5355" w:rsidP="003F5355">
      <w:pPr>
        <w:numPr>
          <w:ilvl w:val="0"/>
          <w:numId w:val="2"/>
        </w:numPr>
        <w:tabs>
          <w:tab w:val="clear" w:pos="1340"/>
          <w:tab w:val="num" w:pos="0"/>
          <w:tab w:val="left" w:pos="993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11FB">
        <w:rPr>
          <w:rFonts w:ascii="Times New Roman" w:hAnsi="Times New Roman" w:cs="Times New Roman"/>
          <w:i/>
          <w:iCs/>
          <w:sz w:val="24"/>
          <w:szCs w:val="24"/>
        </w:rPr>
        <w:t xml:space="preserve">загального фонду – </w:t>
      </w:r>
      <w:r w:rsidR="00FD3780">
        <w:rPr>
          <w:rFonts w:ascii="Times New Roman" w:hAnsi="Times New Roman" w:cs="Times New Roman"/>
          <w:i/>
          <w:iCs/>
          <w:sz w:val="24"/>
          <w:szCs w:val="24"/>
        </w:rPr>
        <w:t>314 494,1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611FB">
        <w:rPr>
          <w:rFonts w:ascii="Times New Roman" w:hAnsi="Times New Roman" w:cs="Times New Roman"/>
          <w:i/>
          <w:iCs/>
          <w:sz w:val="24"/>
          <w:szCs w:val="24"/>
        </w:rPr>
        <w:t>млн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611FB">
        <w:rPr>
          <w:rFonts w:ascii="Times New Roman" w:hAnsi="Times New Roman" w:cs="Times New Roman"/>
          <w:i/>
          <w:iCs/>
          <w:sz w:val="24"/>
          <w:szCs w:val="24"/>
        </w:rPr>
        <w:t>гривень.</w:t>
      </w:r>
    </w:p>
    <w:p w:rsidR="003F5355" w:rsidRPr="007611FB" w:rsidRDefault="003F5355" w:rsidP="003F5355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>Горизонтальне вирівнювання податкоспроможності місцевих бюджетів на 202</w:t>
      </w:r>
      <w:r w:rsidR="00CB42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611FB">
        <w:rPr>
          <w:rFonts w:ascii="Times New Roman" w:hAnsi="Times New Roman" w:cs="Times New Roman"/>
          <w:sz w:val="24"/>
          <w:szCs w:val="24"/>
        </w:rPr>
        <w:t>рік здійснено відповідно до вимог статей 98 – 100 та пункту 24</w:t>
      </w:r>
      <w:r w:rsidRPr="007611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11FB">
        <w:rPr>
          <w:rFonts w:ascii="Times New Roman" w:hAnsi="Times New Roman" w:cs="Times New Roman"/>
          <w:sz w:val="24"/>
          <w:szCs w:val="24"/>
        </w:rPr>
        <w:t xml:space="preserve"> розділу VI </w:t>
      </w:r>
      <w:r w:rsidRPr="005D43C2">
        <w:rPr>
          <w:rFonts w:ascii="Times New Roman" w:hAnsi="Times New Roman" w:cs="Times New Roman"/>
          <w:sz w:val="24"/>
          <w:szCs w:val="24"/>
        </w:rPr>
        <w:t>"</w:t>
      </w:r>
      <w:r w:rsidRPr="007611FB">
        <w:rPr>
          <w:rFonts w:ascii="Times New Roman" w:hAnsi="Times New Roman" w:cs="Times New Roman"/>
          <w:sz w:val="24"/>
          <w:szCs w:val="24"/>
        </w:rPr>
        <w:t>Прикінцеві та перехідні положення</w:t>
      </w:r>
      <w:r w:rsidRPr="005D43C2">
        <w:rPr>
          <w:rFonts w:ascii="Times New Roman" w:hAnsi="Times New Roman" w:cs="Times New Roman"/>
          <w:sz w:val="24"/>
          <w:szCs w:val="24"/>
        </w:rPr>
        <w:t>"</w:t>
      </w:r>
      <w:r w:rsidRPr="007611FB">
        <w:rPr>
          <w:rFonts w:ascii="Times New Roman" w:hAnsi="Times New Roman" w:cs="Times New Roman"/>
          <w:sz w:val="24"/>
          <w:szCs w:val="24"/>
        </w:rPr>
        <w:t xml:space="preserve"> Бюджетного кодексу України.</w:t>
      </w:r>
    </w:p>
    <w:p w:rsidR="003F5355" w:rsidRPr="007611FB" w:rsidRDefault="003F5355" w:rsidP="003F5355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>Вирівнювання здійснено щодо:</w:t>
      </w:r>
    </w:p>
    <w:p w:rsidR="003F5355" w:rsidRPr="007611FB" w:rsidRDefault="003F5355" w:rsidP="003F5355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>– 24 обласних бюджетів окремо за надходженням податку на доходи фізичних осіб та податку на прибуток підприємств;</w:t>
      </w:r>
    </w:p>
    <w:p w:rsidR="003F5355" w:rsidRPr="007611FB" w:rsidRDefault="003F5355" w:rsidP="003F5355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>– 1</w:t>
      </w:r>
      <w:r w:rsidR="009C24AB">
        <w:rPr>
          <w:rFonts w:ascii="Times New Roman" w:hAnsi="Times New Roman" w:cs="Times New Roman"/>
          <w:sz w:val="24"/>
          <w:szCs w:val="24"/>
        </w:rPr>
        <w:t> 438</w:t>
      </w:r>
      <w:r w:rsidRPr="007611FB">
        <w:rPr>
          <w:rFonts w:ascii="Times New Roman" w:hAnsi="Times New Roman" w:cs="Times New Roman"/>
          <w:sz w:val="24"/>
          <w:szCs w:val="24"/>
        </w:rPr>
        <w:t xml:space="preserve"> бюджетів територіальних громад за надходженнями податку на доходи фізичних осіб.</w:t>
      </w:r>
    </w:p>
    <w:p w:rsidR="003F5355" w:rsidRPr="007611FB" w:rsidRDefault="003F5355" w:rsidP="003F5355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>Розрахунок здійснено з урахуванням таких параметрів: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559"/>
        <w:gridCol w:w="2464"/>
        <w:gridCol w:w="2464"/>
      </w:tblGrid>
      <w:tr w:rsidR="003F5355" w:rsidRPr="007611FB" w:rsidTr="00CB29A7">
        <w:trPr>
          <w:tblHeader/>
        </w:trPr>
        <w:tc>
          <w:tcPr>
            <w:tcW w:w="3085" w:type="dxa"/>
            <w:shd w:val="clear" w:color="auto" w:fill="auto"/>
            <w:vAlign w:val="center"/>
          </w:tcPr>
          <w:p w:rsidR="003F5355" w:rsidRPr="007611FB" w:rsidRDefault="003F5355" w:rsidP="00CB29A7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Показник*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355" w:rsidRPr="007611FB" w:rsidRDefault="003F5355" w:rsidP="00CB29A7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Звітна дата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F5355" w:rsidRPr="007611FB" w:rsidRDefault="003F5355" w:rsidP="00CB29A7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Суб’єкт</w:t>
            </w:r>
          </w:p>
          <w:p w:rsidR="003F5355" w:rsidRPr="007611FB" w:rsidRDefault="003F5355" w:rsidP="00CB29A7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надання</w:t>
            </w:r>
          </w:p>
          <w:p w:rsidR="003F5355" w:rsidRPr="007611FB" w:rsidRDefault="003F5355" w:rsidP="00CB29A7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інформації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F5355" w:rsidRPr="007611FB" w:rsidRDefault="003F5355" w:rsidP="00CB29A7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Значення</w:t>
            </w:r>
          </w:p>
        </w:tc>
      </w:tr>
      <w:tr w:rsidR="003F5355" w:rsidRPr="007611FB" w:rsidTr="00CB29A7">
        <w:tc>
          <w:tcPr>
            <w:tcW w:w="3085" w:type="dxa"/>
            <w:shd w:val="clear" w:color="auto" w:fill="auto"/>
            <w:vAlign w:val="center"/>
          </w:tcPr>
          <w:p w:rsidR="003F5355" w:rsidRPr="007611FB" w:rsidRDefault="003F5355" w:rsidP="00CB29A7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Чисельність наявного населення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355" w:rsidRPr="007611FB" w:rsidRDefault="003F5355" w:rsidP="004C13F3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Станом на 01.01.20</w:t>
            </w:r>
            <w:r w:rsidR="004C13F3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F5355" w:rsidRPr="007611FB" w:rsidRDefault="003F5355" w:rsidP="00CB29A7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Державна служба статистики України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F5355" w:rsidRPr="007611FB" w:rsidRDefault="003F5355" w:rsidP="004C13F3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35,</w:t>
            </w:r>
            <w:r w:rsidR="004C13F3">
              <w:rPr>
                <w:sz w:val="22"/>
                <w:szCs w:val="22"/>
                <w:lang w:val="uk-UA"/>
              </w:rPr>
              <w:t>2</w:t>
            </w:r>
            <w:r w:rsidRPr="007611FB">
              <w:rPr>
                <w:sz w:val="22"/>
                <w:szCs w:val="22"/>
                <w:lang w:val="uk-UA"/>
              </w:rPr>
              <w:t> млн осіб</w:t>
            </w:r>
          </w:p>
        </w:tc>
      </w:tr>
      <w:tr w:rsidR="003F5355" w:rsidRPr="007611FB" w:rsidTr="00CB29A7">
        <w:tc>
          <w:tcPr>
            <w:tcW w:w="3085" w:type="dxa"/>
            <w:shd w:val="clear" w:color="auto" w:fill="auto"/>
            <w:vAlign w:val="center"/>
          </w:tcPr>
          <w:p w:rsidR="003F5355" w:rsidRPr="007611FB" w:rsidRDefault="003F5355" w:rsidP="00CB29A7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Кількість облікованих внутрішньо переміщених осіб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355" w:rsidRPr="007611FB" w:rsidRDefault="003F5355" w:rsidP="004C13F3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Станом на 01.01.20</w:t>
            </w:r>
            <w:r w:rsidR="004C13F3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F5355" w:rsidRPr="007611FB" w:rsidRDefault="003F5355" w:rsidP="00CB29A7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Міністерство соціальної політики України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F5355" w:rsidRPr="007611FB" w:rsidRDefault="003F5355" w:rsidP="00CB29A7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1,3 млн осіб</w:t>
            </w:r>
          </w:p>
        </w:tc>
      </w:tr>
      <w:tr w:rsidR="003F5355" w:rsidRPr="007611FB" w:rsidTr="00CB29A7">
        <w:tc>
          <w:tcPr>
            <w:tcW w:w="3085" w:type="dxa"/>
            <w:shd w:val="clear" w:color="auto" w:fill="auto"/>
            <w:vAlign w:val="center"/>
          </w:tcPr>
          <w:p w:rsidR="003F5355" w:rsidRPr="007611FB" w:rsidRDefault="003F5355" w:rsidP="00CB29A7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Надходження податку на доходи фізичних осіб, що зараховується до обласних бюджетів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355" w:rsidRPr="007611FB" w:rsidRDefault="004C13F3" w:rsidP="00CB29A7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 2019</w:t>
            </w:r>
            <w:r w:rsidR="003F5355" w:rsidRPr="007611FB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F5355" w:rsidRPr="007611FB" w:rsidRDefault="003F5355" w:rsidP="00CB29A7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Державна казначейська служба України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F5355" w:rsidRPr="007611FB" w:rsidRDefault="003F5355" w:rsidP="002E61CF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2</w:t>
            </w:r>
            <w:r w:rsidR="004C13F3">
              <w:rPr>
                <w:sz w:val="22"/>
                <w:szCs w:val="22"/>
                <w:lang w:val="uk-UA"/>
              </w:rPr>
              <w:t>8</w:t>
            </w:r>
            <w:r w:rsidRPr="007611FB">
              <w:rPr>
                <w:sz w:val="22"/>
                <w:szCs w:val="22"/>
                <w:lang w:val="uk-UA"/>
              </w:rPr>
              <w:t> </w:t>
            </w:r>
            <w:r w:rsidR="002E61CF">
              <w:rPr>
                <w:sz w:val="22"/>
                <w:szCs w:val="22"/>
                <w:lang w:val="uk-UA"/>
              </w:rPr>
              <w:t>493</w:t>
            </w:r>
            <w:r w:rsidRPr="007611FB">
              <w:rPr>
                <w:sz w:val="22"/>
                <w:szCs w:val="22"/>
                <w:lang w:val="uk-UA"/>
              </w:rPr>
              <w:t>,</w:t>
            </w:r>
            <w:r w:rsidR="002E61CF">
              <w:rPr>
                <w:sz w:val="22"/>
                <w:szCs w:val="22"/>
                <w:lang w:val="uk-UA"/>
              </w:rPr>
              <w:t>8</w:t>
            </w:r>
            <w:r w:rsidRPr="007611FB">
              <w:rPr>
                <w:sz w:val="22"/>
                <w:szCs w:val="22"/>
                <w:lang w:val="uk-UA"/>
              </w:rPr>
              <w:t> млн грн</w:t>
            </w:r>
          </w:p>
        </w:tc>
      </w:tr>
      <w:tr w:rsidR="003F5355" w:rsidRPr="007611FB" w:rsidTr="00CB29A7">
        <w:tc>
          <w:tcPr>
            <w:tcW w:w="3085" w:type="dxa"/>
            <w:shd w:val="clear" w:color="auto" w:fill="auto"/>
            <w:vAlign w:val="center"/>
          </w:tcPr>
          <w:p w:rsidR="003F5355" w:rsidRPr="007611FB" w:rsidRDefault="003F5355" w:rsidP="00CB29A7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 xml:space="preserve">Надходження податку на прибуток підприємств, що зараховується до обласних бюджетів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355" w:rsidRPr="007611FB" w:rsidRDefault="003F5355" w:rsidP="002E61CF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за 201</w:t>
            </w:r>
            <w:r w:rsidR="002E61CF">
              <w:rPr>
                <w:sz w:val="22"/>
                <w:szCs w:val="22"/>
                <w:lang w:val="uk-UA"/>
              </w:rPr>
              <w:t>9</w:t>
            </w:r>
            <w:r w:rsidRPr="007611FB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F5355" w:rsidRPr="007611FB" w:rsidRDefault="003F5355" w:rsidP="00CB29A7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Державна казначейська служба України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F5355" w:rsidRPr="007611FB" w:rsidRDefault="003F5355" w:rsidP="002E61CF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4 8</w:t>
            </w:r>
            <w:r w:rsidR="002E61CF">
              <w:rPr>
                <w:sz w:val="22"/>
                <w:szCs w:val="22"/>
                <w:lang w:val="uk-UA"/>
              </w:rPr>
              <w:t>27</w:t>
            </w:r>
            <w:r w:rsidRPr="007611FB">
              <w:rPr>
                <w:sz w:val="22"/>
                <w:szCs w:val="22"/>
                <w:lang w:val="uk-UA"/>
              </w:rPr>
              <w:t>,</w:t>
            </w:r>
            <w:r w:rsidR="002E61CF">
              <w:rPr>
                <w:sz w:val="22"/>
                <w:szCs w:val="22"/>
                <w:lang w:val="uk-UA"/>
              </w:rPr>
              <w:t>3</w:t>
            </w:r>
            <w:r w:rsidRPr="007611FB">
              <w:rPr>
                <w:sz w:val="22"/>
                <w:szCs w:val="22"/>
                <w:lang w:val="uk-UA"/>
              </w:rPr>
              <w:t> млн грн</w:t>
            </w:r>
          </w:p>
        </w:tc>
      </w:tr>
      <w:tr w:rsidR="003F5355" w:rsidRPr="007611FB" w:rsidTr="00CB29A7">
        <w:tc>
          <w:tcPr>
            <w:tcW w:w="3085" w:type="dxa"/>
            <w:shd w:val="clear" w:color="auto" w:fill="auto"/>
            <w:vAlign w:val="center"/>
          </w:tcPr>
          <w:p w:rsidR="003F5355" w:rsidRPr="007611FB" w:rsidRDefault="003F5355" w:rsidP="000A200C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Надходження податку на доходи фізичних осіб, що зараховується до бюджетів територіальних громад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355" w:rsidRPr="007611FB" w:rsidRDefault="003F5355" w:rsidP="000A200C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за 201</w:t>
            </w:r>
            <w:r w:rsidR="000A200C">
              <w:rPr>
                <w:sz w:val="22"/>
                <w:szCs w:val="22"/>
                <w:lang w:val="uk-UA"/>
              </w:rPr>
              <w:t>9</w:t>
            </w:r>
            <w:r w:rsidRPr="007611FB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F5355" w:rsidRPr="007611FB" w:rsidRDefault="003F5355" w:rsidP="00CB29A7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Державна казначейська служба України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F5355" w:rsidRPr="007611FB" w:rsidRDefault="000A200C" w:rsidP="000A200C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113</w:t>
            </w:r>
            <w:r w:rsidR="003F5355" w:rsidRPr="007611FB">
              <w:rPr>
                <w:sz w:val="22"/>
                <w:szCs w:val="22"/>
                <w:lang w:val="uk-UA"/>
              </w:rPr>
              <w:t> </w:t>
            </w:r>
            <w:r>
              <w:rPr>
                <w:sz w:val="22"/>
                <w:szCs w:val="22"/>
                <w:lang w:val="uk-UA"/>
              </w:rPr>
              <w:t>838</w:t>
            </w:r>
            <w:r w:rsidR="003F5355" w:rsidRPr="007611FB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7</w:t>
            </w:r>
            <w:r w:rsidR="003F5355" w:rsidRPr="007611FB">
              <w:rPr>
                <w:sz w:val="22"/>
                <w:szCs w:val="22"/>
                <w:lang w:val="uk-UA"/>
              </w:rPr>
              <w:t> млн грн</w:t>
            </w:r>
          </w:p>
        </w:tc>
      </w:tr>
      <w:tr w:rsidR="003F5355" w:rsidRPr="007611FB" w:rsidTr="00CB29A7">
        <w:tc>
          <w:tcPr>
            <w:tcW w:w="3085" w:type="dxa"/>
            <w:shd w:val="clear" w:color="auto" w:fill="auto"/>
          </w:tcPr>
          <w:p w:rsidR="003F5355" w:rsidRPr="007611FB" w:rsidRDefault="003F5355" w:rsidP="00CB29A7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 xml:space="preserve">Коригування показників надходжень відповідного податку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355" w:rsidRPr="007611FB" w:rsidRDefault="003F5355" w:rsidP="000A200C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за 201</w:t>
            </w:r>
            <w:r w:rsidR="000A200C">
              <w:rPr>
                <w:sz w:val="22"/>
                <w:szCs w:val="22"/>
                <w:lang w:val="uk-UA"/>
              </w:rPr>
              <w:t>9</w:t>
            </w:r>
            <w:r w:rsidRPr="007611FB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F5355" w:rsidRPr="007611FB" w:rsidRDefault="003F5355" w:rsidP="00CB29A7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Департаменти фінансів обласних державних адміністрацій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F5355" w:rsidRPr="007611FB" w:rsidRDefault="003F5355" w:rsidP="00CB29A7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–</w:t>
            </w:r>
          </w:p>
        </w:tc>
      </w:tr>
    </w:tbl>
    <w:p w:rsidR="003F5355" w:rsidRPr="007611FB" w:rsidRDefault="003F5355" w:rsidP="003F5355">
      <w:pPr>
        <w:pStyle w:val="StyleZakonu"/>
        <w:spacing w:after="120" w:line="240" w:lineRule="auto"/>
        <w:ind w:firstLine="567"/>
        <w:rPr>
          <w:i/>
          <w:sz w:val="24"/>
          <w:szCs w:val="24"/>
          <w:lang w:val="uk-UA"/>
        </w:rPr>
      </w:pPr>
      <w:r w:rsidRPr="007611FB">
        <w:rPr>
          <w:i/>
          <w:sz w:val="24"/>
          <w:szCs w:val="24"/>
          <w:lang w:val="uk-UA"/>
        </w:rPr>
        <w:t>* – без урахування показників по бюджету міста Києва та населених пунктів Донецької та Луганської областей, на території яких органи державної влади тимчасово не здійснюють свої повноваження.</w:t>
      </w:r>
    </w:p>
    <w:p w:rsidR="003F5355" w:rsidRPr="007611FB" w:rsidRDefault="003F5355" w:rsidP="003F5355">
      <w:pPr>
        <w:pStyle w:val="StyleZakonu"/>
        <w:spacing w:after="120" w:line="240" w:lineRule="auto"/>
        <w:ind w:firstLine="567"/>
        <w:rPr>
          <w:sz w:val="24"/>
          <w:szCs w:val="24"/>
          <w:lang w:val="uk-UA"/>
        </w:rPr>
      </w:pPr>
      <w:r w:rsidRPr="007611FB">
        <w:rPr>
          <w:sz w:val="24"/>
          <w:szCs w:val="24"/>
          <w:lang w:val="uk-UA"/>
        </w:rPr>
        <w:t>З урахуванням зазначених параметрів, середній рівень надходжень на 1 жителя, який використано під час розрахунку, с</w:t>
      </w:r>
      <w:r w:rsidR="00520C23">
        <w:rPr>
          <w:sz w:val="24"/>
          <w:szCs w:val="24"/>
          <w:lang w:val="uk-UA"/>
        </w:rPr>
        <w:t xml:space="preserve">кладе </w:t>
      </w:r>
      <w:r w:rsidRPr="007611FB">
        <w:rPr>
          <w:sz w:val="24"/>
          <w:szCs w:val="24"/>
          <w:lang w:val="uk-UA"/>
        </w:rPr>
        <w:t>для: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551"/>
        <w:gridCol w:w="2126"/>
      </w:tblGrid>
      <w:tr w:rsidR="003F5355" w:rsidRPr="007611FB" w:rsidTr="00CB29A7">
        <w:tc>
          <w:tcPr>
            <w:tcW w:w="5070" w:type="dxa"/>
            <w:shd w:val="clear" w:color="auto" w:fill="auto"/>
            <w:vAlign w:val="center"/>
          </w:tcPr>
          <w:p w:rsidR="003F5355" w:rsidRPr="007611FB" w:rsidRDefault="003F5355" w:rsidP="00520C23">
            <w:pPr>
              <w:pStyle w:val="StyleZakonu"/>
              <w:spacing w:after="12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бюджетів територіальних громад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3F5355" w:rsidRPr="007611FB" w:rsidRDefault="003F5355" w:rsidP="00CB29A7">
            <w:pPr>
              <w:pStyle w:val="StyleZakonu"/>
              <w:spacing w:after="12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обласних бюджетів</w:t>
            </w:r>
          </w:p>
        </w:tc>
      </w:tr>
      <w:tr w:rsidR="003F5355" w:rsidRPr="007611FB" w:rsidTr="00CB29A7">
        <w:tc>
          <w:tcPr>
            <w:tcW w:w="5070" w:type="dxa"/>
            <w:shd w:val="clear" w:color="auto" w:fill="auto"/>
            <w:vAlign w:val="center"/>
          </w:tcPr>
          <w:p w:rsidR="003F5355" w:rsidRPr="007611FB" w:rsidRDefault="003F5355" w:rsidP="00CB29A7">
            <w:pPr>
              <w:pStyle w:val="StyleZakonu"/>
              <w:spacing w:after="12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 xml:space="preserve">по податку на доходи фізичних осіб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5355" w:rsidRPr="007611FB" w:rsidRDefault="003F5355" w:rsidP="00CB29A7">
            <w:pPr>
              <w:pStyle w:val="StyleZakonu"/>
              <w:spacing w:after="12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 xml:space="preserve">по податку на доходи фізичних осіб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5355" w:rsidRPr="007611FB" w:rsidRDefault="003F5355" w:rsidP="00CB29A7">
            <w:pPr>
              <w:pStyle w:val="StyleZakonu"/>
              <w:spacing w:after="12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податку на прибуток підприємств</w:t>
            </w:r>
          </w:p>
        </w:tc>
      </w:tr>
      <w:tr w:rsidR="003F5355" w:rsidRPr="007611FB" w:rsidTr="00CB29A7">
        <w:tc>
          <w:tcPr>
            <w:tcW w:w="5070" w:type="dxa"/>
            <w:shd w:val="clear" w:color="auto" w:fill="auto"/>
            <w:vAlign w:val="center"/>
          </w:tcPr>
          <w:p w:rsidR="003F5355" w:rsidRPr="007611FB" w:rsidRDefault="00520C23" w:rsidP="00EB7F91">
            <w:pPr>
              <w:pStyle w:val="StyleZakonu"/>
              <w:spacing w:after="12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3F5355" w:rsidRPr="007611FB">
              <w:rPr>
                <w:sz w:val="22"/>
                <w:szCs w:val="22"/>
                <w:lang w:val="uk-UA"/>
              </w:rPr>
              <w:t> </w:t>
            </w:r>
            <w:r>
              <w:rPr>
                <w:sz w:val="22"/>
                <w:szCs w:val="22"/>
                <w:lang w:val="uk-UA"/>
              </w:rPr>
              <w:t>120</w:t>
            </w:r>
            <w:r w:rsidR="003F5355" w:rsidRPr="007611FB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8</w:t>
            </w:r>
            <w:r w:rsidR="00EB7F91">
              <w:rPr>
                <w:sz w:val="22"/>
                <w:szCs w:val="22"/>
                <w:lang w:val="uk-UA"/>
              </w:rPr>
              <w:t>0</w:t>
            </w:r>
            <w:r w:rsidR="003F5355" w:rsidRPr="007611FB">
              <w:rPr>
                <w:sz w:val="22"/>
                <w:szCs w:val="22"/>
                <w:lang w:val="uk-UA"/>
              </w:rPr>
              <w:t xml:space="preserve"> грн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5355" w:rsidRPr="007611FB" w:rsidRDefault="00520C23" w:rsidP="00EB7F91">
            <w:pPr>
              <w:pStyle w:val="StyleZakonu"/>
              <w:spacing w:after="12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781</w:t>
            </w:r>
            <w:r w:rsidR="003F5355" w:rsidRPr="007611FB">
              <w:rPr>
                <w:sz w:val="22"/>
                <w:szCs w:val="22"/>
                <w:lang w:val="uk-UA"/>
              </w:rPr>
              <w:t>,</w:t>
            </w:r>
            <w:r w:rsidR="00EB7F91">
              <w:rPr>
                <w:sz w:val="22"/>
                <w:szCs w:val="22"/>
                <w:lang w:val="uk-UA"/>
              </w:rPr>
              <w:t>14</w:t>
            </w:r>
            <w:r w:rsidR="003F5355" w:rsidRPr="007611FB">
              <w:rPr>
                <w:sz w:val="22"/>
                <w:szCs w:val="22"/>
                <w:lang w:val="uk-UA"/>
              </w:rPr>
              <w:t xml:space="preserve"> грн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5355" w:rsidRPr="007611FB" w:rsidRDefault="003F5355" w:rsidP="00EB7F91">
            <w:pPr>
              <w:pStyle w:val="StyleZakonu"/>
              <w:spacing w:after="12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1</w:t>
            </w:r>
            <w:r w:rsidR="00520C23">
              <w:rPr>
                <w:sz w:val="22"/>
                <w:szCs w:val="22"/>
                <w:lang w:val="uk-UA"/>
              </w:rPr>
              <w:t>32</w:t>
            </w:r>
            <w:r w:rsidRPr="007611FB">
              <w:rPr>
                <w:sz w:val="22"/>
                <w:szCs w:val="22"/>
                <w:lang w:val="uk-UA"/>
              </w:rPr>
              <w:t>,</w:t>
            </w:r>
            <w:r w:rsidR="00EB7F91">
              <w:rPr>
                <w:sz w:val="22"/>
                <w:szCs w:val="22"/>
                <w:lang w:val="uk-UA"/>
              </w:rPr>
              <w:t>1</w:t>
            </w:r>
            <w:r w:rsidR="00520C23">
              <w:rPr>
                <w:sz w:val="22"/>
                <w:szCs w:val="22"/>
                <w:lang w:val="uk-UA"/>
              </w:rPr>
              <w:t>0</w:t>
            </w:r>
            <w:r w:rsidRPr="007611FB">
              <w:rPr>
                <w:sz w:val="22"/>
                <w:szCs w:val="22"/>
                <w:lang w:val="uk-UA"/>
              </w:rPr>
              <w:t xml:space="preserve"> грн</w:t>
            </w:r>
          </w:p>
        </w:tc>
      </w:tr>
    </w:tbl>
    <w:p w:rsidR="003F5355" w:rsidRPr="007611FB" w:rsidRDefault="003F5355" w:rsidP="003F5355">
      <w:pPr>
        <w:pStyle w:val="StyleZakonu"/>
        <w:spacing w:after="120" w:line="240" w:lineRule="auto"/>
        <w:ind w:firstLine="567"/>
        <w:rPr>
          <w:sz w:val="24"/>
          <w:szCs w:val="24"/>
          <w:lang w:val="uk-UA"/>
        </w:rPr>
      </w:pPr>
      <w:r w:rsidRPr="007611FB">
        <w:rPr>
          <w:sz w:val="24"/>
          <w:szCs w:val="24"/>
          <w:lang w:val="uk-UA"/>
        </w:rPr>
        <w:lastRenderedPageBreak/>
        <w:t xml:space="preserve">Отже, базову дотацію отримують бюджети, у яких індекс податкоспроможності &lt; 0,9, або надходження на 1 жителя менше: </w:t>
      </w:r>
    </w:p>
    <w:p w:rsidR="003F5355" w:rsidRPr="007611FB" w:rsidRDefault="003F5355" w:rsidP="003F5355">
      <w:pPr>
        <w:pStyle w:val="StyleZakonu"/>
        <w:tabs>
          <w:tab w:val="left" w:pos="1134"/>
        </w:tabs>
        <w:spacing w:after="120" w:line="240" w:lineRule="auto"/>
        <w:ind w:firstLine="567"/>
        <w:rPr>
          <w:sz w:val="24"/>
          <w:szCs w:val="24"/>
          <w:lang w:val="uk-UA"/>
        </w:rPr>
      </w:pPr>
      <w:r w:rsidRPr="007611FB">
        <w:rPr>
          <w:sz w:val="24"/>
          <w:szCs w:val="24"/>
          <w:lang w:val="uk-UA"/>
        </w:rPr>
        <w:t>2 </w:t>
      </w:r>
      <w:r w:rsidR="00474AE8">
        <w:rPr>
          <w:sz w:val="24"/>
          <w:szCs w:val="24"/>
          <w:lang w:val="uk-UA"/>
        </w:rPr>
        <w:t>808</w:t>
      </w:r>
      <w:r w:rsidRPr="007611FB">
        <w:rPr>
          <w:sz w:val="24"/>
          <w:szCs w:val="24"/>
          <w:lang w:val="uk-UA"/>
        </w:rPr>
        <w:t>,</w:t>
      </w:r>
      <w:r w:rsidR="00474AE8">
        <w:rPr>
          <w:sz w:val="24"/>
          <w:szCs w:val="24"/>
          <w:lang w:val="uk-UA"/>
        </w:rPr>
        <w:t>7</w:t>
      </w:r>
      <w:r w:rsidR="00EB7F91">
        <w:rPr>
          <w:sz w:val="24"/>
          <w:szCs w:val="24"/>
          <w:lang w:val="uk-UA"/>
        </w:rPr>
        <w:t>2</w:t>
      </w:r>
      <w:r w:rsidRPr="007611FB">
        <w:rPr>
          <w:sz w:val="24"/>
          <w:szCs w:val="24"/>
          <w:lang w:val="uk-UA"/>
        </w:rPr>
        <w:t> грн – з податку на доходи фізичних осіб для бюджетів територіальних громад;</w:t>
      </w:r>
    </w:p>
    <w:p w:rsidR="003F5355" w:rsidRPr="007611FB" w:rsidRDefault="00474AE8" w:rsidP="003F5355">
      <w:pPr>
        <w:pStyle w:val="StyleZakonu"/>
        <w:tabs>
          <w:tab w:val="left" w:pos="1134"/>
        </w:tabs>
        <w:spacing w:after="120"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703</w:t>
      </w:r>
      <w:r w:rsidR="003F5355" w:rsidRPr="007611FB">
        <w:rPr>
          <w:sz w:val="24"/>
          <w:szCs w:val="24"/>
          <w:lang w:val="uk-UA"/>
        </w:rPr>
        <w:t>,</w:t>
      </w:r>
      <w:r w:rsidR="00EB7F91">
        <w:rPr>
          <w:sz w:val="24"/>
          <w:szCs w:val="24"/>
          <w:lang w:val="uk-UA"/>
        </w:rPr>
        <w:t>02</w:t>
      </w:r>
      <w:r w:rsidR="003F5355" w:rsidRPr="007611FB">
        <w:rPr>
          <w:sz w:val="24"/>
          <w:szCs w:val="24"/>
          <w:lang w:val="uk-UA"/>
        </w:rPr>
        <w:t> грн – з податку на доходи фізичних осіб для обласних бюджетів;</w:t>
      </w:r>
    </w:p>
    <w:p w:rsidR="003F5355" w:rsidRPr="007611FB" w:rsidRDefault="00474AE8" w:rsidP="003F5355">
      <w:pPr>
        <w:pStyle w:val="StyleZakonu"/>
        <w:tabs>
          <w:tab w:val="left" w:pos="1134"/>
        </w:tabs>
        <w:spacing w:after="120"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118</w:t>
      </w:r>
      <w:r w:rsidR="003F5355" w:rsidRPr="007611FB">
        <w:rPr>
          <w:sz w:val="24"/>
          <w:szCs w:val="24"/>
          <w:lang w:val="uk-UA"/>
        </w:rPr>
        <w:t>,</w:t>
      </w:r>
      <w:r w:rsidR="00EB7F91">
        <w:rPr>
          <w:sz w:val="24"/>
          <w:szCs w:val="24"/>
          <w:lang w:val="uk-UA"/>
        </w:rPr>
        <w:t>89</w:t>
      </w:r>
      <w:r w:rsidR="003F5355" w:rsidRPr="007611FB">
        <w:rPr>
          <w:sz w:val="24"/>
          <w:szCs w:val="24"/>
          <w:lang w:val="uk-UA"/>
        </w:rPr>
        <w:t> грн – з податку на прибуток підприємств для обласних бюджетів.</w:t>
      </w:r>
    </w:p>
    <w:p w:rsidR="003F5355" w:rsidRPr="007611FB" w:rsidRDefault="003F5355" w:rsidP="003F5355">
      <w:pPr>
        <w:tabs>
          <w:tab w:val="left" w:pos="709"/>
          <w:tab w:val="left" w:pos="1134"/>
        </w:tabs>
        <w:spacing w:before="120" w:after="120"/>
        <w:ind w:firstLine="567"/>
        <w:jc w:val="both"/>
        <w:rPr>
          <w:rFonts w:ascii="Times New Roman" w:hAnsi="Times New Roman" w:cs="Times New Roman"/>
          <w:bCs/>
          <w:i/>
          <w:kern w:val="24"/>
          <w:sz w:val="24"/>
          <w:szCs w:val="24"/>
        </w:rPr>
      </w:pPr>
      <w:r w:rsidRPr="007611FB">
        <w:rPr>
          <w:rFonts w:ascii="Times New Roman" w:hAnsi="Times New Roman" w:cs="Times New Roman"/>
          <w:bCs/>
          <w:i/>
          <w:kern w:val="24"/>
          <w:sz w:val="24"/>
          <w:szCs w:val="24"/>
        </w:rPr>
        <w:t>Базову дотацію з державного бюджету у 2020 році отримають 1 0</w:t>
      </w:r>
      <w:r w:rsidR="00C51491">
        <w:rPr>
          <w:rFonts w:ascii="Times New Roman" w:hAnsi="Times New Roman" w:cs="Times New Roman"/>
          <w:bCs/>
          <w:i/>
          <w:kern w:val="24"/>
          <w:sz w:val="24"/>
          <w:szCs w:val="24"/>
        </w:rPr>
        <w:t>9</w:t>
      </w:r>
      <w:r w:rsidR="00EB7F91">
        <w:rPr>
          <w:rFonts w:ascii="Times New Roman" w:hAnsi="Times New Roman" w:cs="Times New Roman"/>
          <w:bCs/>
          <w:i/>
          <w:kern w:val="24"/>
          <w:sz w:val="24"/>
          <w:szCs w:val="24"/>
        </w:rPr>
        <w:t>5</w:t>
      </w:r>
      <w:r w:rsidRPr="007611FB">
        <w:rPr>
          <w:rFonts w:ascii="Times New Roman" w:hAnsi="Times New Roman" w:cs="Times New Roman"/>
          <w:bCs/>
          <w:i/>
          <w:kern w:val="24"/>
          <w:sz w:val="24"/>
          <w:szCs w:val="24"/>
        </w:rPr>
        <w:t xml:space="preserve"> місцевих бюджети, у тому числі: </w:t>
      </w:r>
      <w:r w:rsidR="00C51491">
        <w:rPr>
          <w:rFonts w:ascii="Times New Roman" w:hAnsi="Times New Roman" w:cs="Times New Roman"/>
          <w:bCs/>
          <w:i/>
          <w:kern w:val="24"/>
          <w:sz w:val="24"/>
          <w:szCs w:val="24"/>
        </w:rPr>
        <w:t>20</w:t>
      </w:r>
      <w:r w:rsidRPr="007611FB">
        <w:rPr>
          <w:rFonts w:ascii="Times New Roman" w:hAnsi="Times New Roman" w:cs="Times New Roman"/>
          <w:bCs/>
          <w:i/>
          <w:kern w:val="24"/>
          <w:sz w:val="24"/>
          <w:szCs w:val="24"/>
        </w:rPr>
        <w:t xml:space="preserve"> обласних бюджетів та </w:t>
      </w:r>
      <w:r w:rsidR="00C51491">
        <w:rPr>
          <w:rFonts w:ascii="Times New Roman" w:hAnsi="Times New Roman" w:cs="Times New Roman"/>
          <w:bCs/>
          <w:i/>
          <w:kern w:val="24"/>
          <w:sz w:val="24"/>
          <w:szCs w:val="24"/>
        </w:rPr>
        <w:t>1 07</w:t>
      </w:r>
      <w:r w:rsidR="00EB7F91">
        <w:rPr>
          <w:rFonts w:ascii="Times New Roman" w:hAnsi="Times New Roman" w:cs="Times New Roman"/>
          <w:bCs/>
          <w:i/>
          <w:kern w:val="24"/>
          <w:sz w:val="24"/>
          <w:szCs w:val="24"/>
        </w:rPr>
        <w:t>5</w:t>
      </w:r>
      <w:r w:rsidRPr="007611FB">
        <w:rPr>
          <w:rFonts w:ascii="Times New Roman" w:hAnsi="Times New Roman" w:cs="Times New Roman"/>
          <w:bCs/>
          <w:i/>
          <w:kern w:val="24"/>
          <w:sz w:val="24"/>
          <w:szCs w:val="24"/>
        </w:rPr>
        <w:t xml:space="preserve"> бюджет</w:t>
      </w:r>
      <w:r w:rsidR="00EB7F91">
        <w:rPr>
          <w:rFonts w:ascii="Times New Roman" w:hAnsi="Times New Roman" w:cs="Times New Roman"/>
          <w:bCs/>
          <w:i/>
          <w:kern w:val="24"/>
          <w:sz w:val="24"/>
          <w:szCs w:val="24"/>
        </w:rPr>
        <w:t>ів</w:t>
      </w:r>
      <w:r w:rsidRPr="007611FB">
        <w:rPr>
          <w:rFonts w:ascii="Times New Roman" w:hAnsi="Times New Roman" w:cs="Times New Roman"/>
          <w:bCs/>
          <w:i/>
          <w:kern w:val="24"/>
          <w:sz w:val="24"/>
          <w:szCs w:val="24"/>
        </w:rPr>
        <w:t xml:space="preserve"> територіальних громад</w:t>
      </w:r>
      <w:r w:rsidRPr="007611FB">
        <w:rPr>
          <w:rFonts w:ascii="Times New Roman" w:hAnsi="Times New Roman" w:cs="Times New Roman"/>
          <w:bCs/>
          <w:kern w:val="24"/>
          <w:sz w:val="24"/>
          <w:szCs w:val="24"/>
        </w:rPr>
        <w:t>.</w:t>
      </w:r>
    </w:p>
    <w:p w:rsidR="003F5355" w:rsidRPr="007611FB" w:rsidRDefault="003F5355" w:rsidP="003F5355">
      <w:pPr>
        <w:pStyle w:val="StyleZakonu"/>
        <w:spacing w:after="120" w:line="240" w:lineRule="auto"/>
        <w:ind w:firstLine="567"/>
        <w:rPr>
          <w:sz w:val="24"/>
          <w:szCs w:val="24"/>
          <w:lang w:val="uk-UA"/>
        </w:rPr>
      </w:pPr>
      <w:r w:rsidRPr="007611FB">
        <w:rPr>
          <w:sz w:val="24"/>
          <w:szCs w:val="24"/>
          <w:lang w:val="uk-UA"/>
        </w:rPr>
        <w:t>Реверсна дотація передбачена для бюджетів, у яких індекс податкоспроможності &gt; 1,1, або надходження на 1 жителя більше:</w:t>
      </w:r>
    </w:p>
    <w:p w:rsidR="003F5355" w:rsidRPr="007611FB" w:rsidRDefault="005D1B72" w:rsidP="003F5355">
      <w:pPr>
        <w:pStyle w:val="StyleZakonu"/>
        <w:tabs>
          <w:tab w:val="left" w:pos="1134"/>
        </w:tabs>
        <w:spacing w:after="120"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3F5355" w:rsidRPr="007611FB">
        <w:rPr>
          <w:sz w:val="24"/>
          <w:szCs w:val="24"/>
          <w:lang w:val="uk-UA"/>
        </w:rPr>
        <w:t> </w:t>
      </w:r>
      <w:r>
        <w:rPr>
          <w:sz w:val="24"/>
          <w:szCs w:val="24"/>
          <w:lang w:val="uk-UA"/>
        </w:rPr>
        <w:t>432</w:t>
      </w:r>
      <w:r w:rsidR="003F5355" w:rsidRPr="007611FB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>8</w:t>
      </w:r>
      <w:r w:rsidR="00EB7F91">
        <w:rPr>
          <w:sz w:val="24"/>
          <w:szCs w:val="24"/>
          <w:lang w:val="uk-UA"/>
        </w:rPr>
        <w:t>8</w:t>
      </w:r>
      <w:r w:rsidR="003F5355" w:rsidRPr="007611FB">
        <w:rPr>
          <w:sz w:val="24"/>
          <w:szCs w:val="24"/>
          <w:lang w:val="uk-UA"/>
        </w:rPr>
        <w:t> грн – з податку на доходи фізичних осіб для бюджетів територіальних громад;</w:t>
      </w:r>
    </w:p>
    <w:p w:rsidR="003F5355" w:rsidRPr="007611FB" w:rsidRDefault="003D707C" w:rsidP="003F5355">
      <w:pPr>
        <w:pStyle w:val="StyleZakonu"/>
        <w:tabs>
          <w:tab w:val="left" w:pos="1134"/>
        </w:tabs>
        <w:spacing w:after="120"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859</w:t>
      </w:r>
      <w:r w:rsidR="003F5355" w:rsidRPr="007611FB">
        <w:rPr>
          <w:sz w:val="24"/>
          <w:szCs w:val="24"/>
          <w:lang w:val="uk-UA"/>
        </w:rPr>
        <w:t>,</w:t>
      </w:r>
      <w:r w:rsidR="00EB7F91">
        <w:rPr>
          <w:sz w:val="24"/>
          <w:szCs w:val="24"/>
          <w:lang w:val="uk-UA"/>
        </w:rPr>
        <w:t>25</w:t>
      </w:r>
      <w:r w:rsidR="003F5355" w:rsidRPr="007611FB">
        <w:rPr>
          <w:sz w:val="24"/>
          <w:szCs w:val="24"/>
          <w:lang w:val="uk-UA"/>
        </w:rPr>
        <w:t> грн – з податку на доходи фізичних осіб для обласних бюджетів;</w:t>
      </w:r>
    </w:p>
    <w:p w:rsidR="003F5355" w:rsidRPr="007611FB" w:rsidRDefault="003D707C" w:rsidP="003F5355">
      <w:pPr>
        <w:pStyle w:val="StyleZakonu"/>
        <w:tabs>
          <w:tab w:val="left" w:pos="1134"/>
        </w:tabs>
        <w:spacing w:after="120"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145</w:t>
      </w:r>
      <w:r w:rsidR="003F5355" w:rsidRPr="007611FB">
        <w:rPr>
          <w:sz w:val="24"/>
          <w:szCs w:val="24"/>
          <w:lang w:val="uk-UA"/>
        </w:rPr>
        <w:t>,</w:t>
      </w:r>
      <w:r w:rsidR="00EB7F91">
        <w:rPr>
          <w:sz w:val="24"/>
          <w:szCs w:val="24"/>
          <w:lang w:val="uk-UA"/>
        </w:rPr>
        <w:t>31</w:t>
      </w:r>
      <w:r w:rsidR="003F5355" w:rsidRPr="007611FB">
        <w:rPr>
          <w:sz w:val="24"/>
          <w:szCs w:val="24"/>
          <w:lang w:val="uk-UA"/>
        </w:rPr>
        <w:t xml:space="preserve"> грн – з податку на прибуток підприємств для обласних бюджетів. </w:t>
      </w:r>
    </w:p>
    <w:p w:rsidR="003F5355" w:rsidRPr="007611FB" w:rsidRDefault="003F5355" w:rsidP="003F5355">
      <w:pPr>
        <w:tabs>
          <w:tab w:val="left" w:pos="709"/>
          <w:tab w:val="left" w:pos="1134"/>
        </w:tabs>
        <w:spacing w:before="120" w:after="12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1FB">
        <w:rPr>
          <w:rFonts w:ascii="Times New Roman" w:hAnsi="Times New Roman" w:cs="Times New Roman"/>
          <w:i/>
          <w:sz w:val="24"/>
          <w:szCs w:val="24"/>
        </w:rPr>
        <w:t>У 202</w:t>
      </w:r>
      <w:r w:rsidR="003D707C">
        <w:rPr>
          <w:rFonts w:ascii="Times New Roman" w:hAnsi="Times New Roman" w:cs="Times New Roman"/>
          <w:i/>
          <w:sz w:val="24"/>
          <w:szCs w:val="24"/>
        </w:rPr>
        <w:t>1</w:t>
      </w:r>
      <w:r w:rsidRPr="007611FB">
        <w:rPr>
          <w:rFonts w:ascii="Times New Roman" w:hAnsi="Times New Roman" w:cs="Times New Roman"/>
          <w:i/>
          <w:sz w:val="24"/>
          <w:szCs w:val="24"/>
        </w:rPr>
        <w:t xml:space="preserve"> році реверсну дотацію до державного бюджету будуть перераховувати 2</w:t>
      </w:r>
      <w:r w:rsidR="00EB7F91">
        <w:rPr>
          <w:rFonts w:ascii="Times New Roman" w:hAnsi="Times New Roman" w:cs="Times New Roman"/>
          <w:i/>
          <w:sz w:val="24"/>
          <w:szCs w:val="24"/>
        </w:rPr>
        <w:t>10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7611FB">
        <w:rPr>
          <w:rFonts w:ascii="Times New Roman" w:hAnsi="Times New Roman" w:cs="Times New Roman"/>
          <w:i/>
          <w:sz w:val="24"/>
          <w:szCs w:val="24"/>
        </w:rPr>
        <w:t xml:space="preserve">місцевих бюджетів, </w:t>
      </w:r>
      <w:r w:rsidRPr="007611FB">
        <w:rPr>
          <w:rFonts w:ascii="Times New Roman" w:hAnsi="Times New Roman" w:cs="Times New Roman"/>
          <w:bCs/>
          <w:i/>
          <w:kern w:val="24"/>
          <w:sz w:val="24"/>
          <w:szCs w:val="24"/>
        </w:rPr>
        <w:t xml:space="preserve">у тому числі: </w:t>
      </w:r>
      <w:r w:rsidR="003D707C">
        <w:rPr>
          <w:rFonts w:ascii="Times New Roman" w:hAnsi="Times New Roman" w:cs="Times New Roman"/>
          <w:bCs/>
          <w:i/>
          <w:kern w:val="24"/>
          <w:sz w:val="24"/>
          <w:szCs w:val="24"/>
        </w:rPr>
        <w:t>4</w:t>
      </w:r>
      <w:r w:rsidRPr="007611FB">
        <w:rPr>
          <w:rFonts w:ascii="Times New Roman" w:hAnsi="Times New Roman" w:cs="Times New Roman"/>
          <w:i/>
          <w:sz w:val="24"/>
          <w:szCs w:val="24"/>
        </w:rPr>
        <w:t xml:space="preserve"> обласних бюджет</w:t>
      </w:r>
      <w:r w:rsidR="003D707C">
        <w:rPr>
          <w:rFonts w:ascii="Times New Roman" w:hAnsi="Times New Roman" w:cs="Times New Roman"/>
          <w:i/>
          <w:sz w:val="24"/>
          <w:szCs w:val="24"/>
        </w:rPr>
        <w:t>и</w:t>
      </w:r>
      <w:r w:rsidRPr="007611FB">
        <w:rPr>
          <w:rFonts w:ascii="Times New Roman" w:hAnsi="Times New Roman" w:cs="Times New Roman"/>
          <w:i/>
          <w:sz w:val="24"/>
          <w:szCs w:val="24"/>
        </w:rPr>
        <w:t xml:space="preserve"> та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707C">
        <w:rPr>
          <w:rFonts w:ascii="Times New Roman" w:hAnsi="Times New Roman" w:cs="Times New Roman"/>
          <w:i/>
          <w:sz w:val="24"/>
          <w:szCs w:val="24"/>
        </w:rPr>
        <w:t>20</w:t>
      </w:r>
      <w:r w:rsidR="00EB7F91">
        <w:rPr>
          <w:rFonts w:ascii="Times New Roman" w:hAnsi="Times New Roman" w:cs="Times New Roman"/>
          <w:i/>
          <w:sz w:val="24"/>
          <w:szCs w:val="24"/>
        </w:rPr>
        <w:t>6</w:t>
      </w:r>
      <w:r w:rsidRPr="007611FB">
        <w:rPr>
          <w:rFonts w:ascii="Times New Roman" w:hAnsi="Times New Roman" w:cs="Times New Roman"/>
          <w:i/>
          <w:sz w:val="24"/>
          <w:szCs w:val="24"/>
        </w:rPr>
        <w:t xml:space="preserve"> бюджетів </w:t>
      </w:r>
      <w:r w:rsidRPr="007611FB">
        <w:rPr>
          <w:rFonts w:ascii="Times New Roman" w:hAnsi="Times New Roman" w:cs="Times New Roman"/>
          <w:bCs/>
          <w:i/>
          <w:kern w:val="24"/>
          <w:sz w:val="24"/>
          <w:szCs w:val="24"/>
        </w:rPr>
        <w:t>територіальних громад</w:t>
      </w:r>
      <w:r w:rsidRPr="007611FB">
        <w:rPr>
          <w:rFonts w:ascii="Times New Roman" w:hAnsi="Times New Roman" w:cs="Times New Roman"/>
          <w:i/>
          <w:sz w:val="24"/>
          <w:szCs w:val="24"/>
        </w:rPr>
        <w:t>.</w:t>
      </w:r>
    </w:p>
    <w:p w:rsidR="003F5355" w:rsidRPr="007611FB" w:rsidRDefault="003F5355" w:rsidP="003F5355">
      <w:pPr>
        <w:pStyle w:val="StyleZakonu"/>
        <w:spacing w:after="120" w:line="240" w:lineRule="auto"/>
        <w:ind w:firstLine="567"/>
        <w:rPr>
          <w:sz w:val="24"/>
          <w:szCs w:val="24"/>
          <w:lang w:val="uk-UA"/>
        </w:rPr>
      </w:pPr>
      <w:r w:rsidRPr="007611FB">
        <w:rPr>
          <w:sz w:val="24"/>
          <w:szCs w:val="24"/>
          <w:lang w:val="uk-UA"/>
        </w:rPr>
        <w:t>За результат</w:t>
      </w:r>
      <w:r w:rsidR="00A64DAE">
        <w:rPr>
          <w:sz w:val="24"/>
          <w:szCs w:val="24"/>
          <w:lang w:val="uk-UA"/>
        </w:rPr>
        <w:t>ами</w:t>
      </w:r>
      <w:r w:rsidRPr="007611FB">
        <w:rPr>
          <w:sz w:val="24"/>
          <w:szCs w:val="24"/>
          <w:lang w:val="uk-UA"/>
        </w:rPr>
        <w:t xml:space="preserve"> розрахунку обсяг базової дотації, яка надаватиметься місцевим бюджетам з державного бюджету у 202</w:t>
      </w:r>
      <w:r w:rsidR="00322AE0">
        <w:rPr>
          <w:sz w:val="24"/>
          <w:szCs w:val="24"/>
          <w:lang w:val="uk-UA"/>
        </w:rPr>
        <w:t>1</w:t>
      </w:r>
      <w:r w:rsidRPr="007611FB">
        <w:rPr>
          <w:sz w:val="24"/>
          <w:szCs w:val="24"/>
          <w:lang w:val="uk-UA"/>
        </w:rPr>
        <w:t xml:space="preserve"> році, становить 1</w:t>
      </w:r>
      <w:r w:rsidR="00322AE0">
        <w:rPr>
          <w:sz w:val="24"/>
          <w:szCs w:val="24"/>
          <w:lang w:val="uk-UA"/>
        </w:rPr>
        <w:t>5</w:t>
      </w:r>
      <w:r w:rsidRPr="007611FB">
        <w:rPr>
          <w:sz w:val="24"/>
          <w:szCs w:val="24"/>
          <w:lang w:val="uk-UA"/>
        </w:rPr>
        <w:t> </w:t>
      </w:r>
      <w:r w:rsidR="00EB7F91">
        <w:rPr>
          <w:sz w:val="24"/>
          <w:szCs w:val="24"/>
          <w:lang w:val="uk-UA"/>
        </w:rPr>
        <w:t>690</w:t>
      </w:r>
      <w:r w:rsidRPr="007611FB">
        <w:rPr>
          <w:sz w:val="24"/>
          <w:szCs w:val="24"/>
          <w:lang w:val="uk-UA"/>
        </w:rPr>
        <w:t>,</w:t>
      </w:r>
      <w:r w:rsidR="00EB7F91">
        <w:rPr>
          <w:sz w:val="24"/>
          <w:szCs w:val="24"/>
          <w:lang w:val="uk-UA"/>
        </w:rPr>
        <w:t>7</w:t>
      </w:r>
      <w:r w:rsidRPr="007611FB">
        <w:rPr>
          <w:sz w:val="24"/>
          <w:szCs w:val="24"/>
          <w:lang w:val="uk-UA"/>
        </w:rPr>
        <w:t> млн грн, обсяг реверсної дотації, яка перераховуватиметься з місцевих бюджетів до державного бюджету</w:t>
      </w:r>
      <w:r w:rsidR="00322AE0">
        <w:rPr>
          <w:sz w:val="24"/>
          <w:szCs w:val="24"/>
          <w:lang w:val="uk-UA"/>
        </w:rPr>
        <w:t>, – 10</w:t>
      </w:r>
      <w:r w:rsidRPr="007611FB">
        <w:rPr>
          <w:sz w:val="24"/>
          <w:szCs w:val="24"/>
          <w:lang w:val="uk-UA"/>
        </w:rPr>
        <w:t> </w:t>
      </w:r>
      <w:r w:rsidR="00322AE0">
        <w:rPr>
          <w:sz w:val="24"/>
          <w:szCs w:val="24"/>
          <w:lang w:val="uk-UA"/>
        </w:rPr>
        <w:t>3</w:t>
      </w:r>
      <w:r w:rsidR="000567AE">
        <w:rPr>
          <w:sz w:val="24"/>
          <w:szCs w:val="24"/>
          <w:lang w:val="uk-UA"/>
        </w:rPr>
        <w:t>8</w:t>
      </w:r>
      <w:r w:rsidR="00322AE0">
        <w:rPr>
          <w:sz w:val="24"/>
          <w:szCs w:val="24"/>
          <w:lang w:val="uk-UA"/>
        </w:rPr>
        <w:t>3</w:t>
      </w:r>
      <w:r w:rsidRPr="007611FB">
        <w:rPr>
          <w:sz w:val="24"/>
          <w:szCs w:val="24"/>
          <w:lang w:val="uk-UA"/>
        </w:rPr>
        <w:t>,</w:t>
      </w:r>
      <w:r w:rsidR="00322AE0">
        <w:rPr>
          <w:sz w:val="24"/>
          <w:szCs w:val="24"/>
          <w:lang w:val="uk-UA"/>
        </w:rPr>
        <w:t>4</w:t>
      </w:r>
      <w:r w:rsidRPr="007611FB">
        <w:rPr>
          <w:sz w:val="24"/>
          <w:szCs w:val="24"/>
          <w:lang w:val="uk-UA"/>
        </w:rPr>
        <w:t> млн гривень.</w:t>
      </w:r>
    </w:p>
    <w:p w:rsidR="003F5355" w:rsidRPr="007611FB" w:rsidRDefault="003F5355" w:rsidP="003F5355">
      <w:pPr>
        <w:tabs>
          <w:tab w:val="left" w:pos="709"/>
          <w:tab w:val="left" w:pos="1134"/>
        </w:tabs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 xml:space="preserve">Загалом обсяг міжбюджетних трансфертів, що надаються з державного бюджету місцевим бюджетам, передбачено у </w:t>
      </w:r>
      <w:r w:rsidRPr="000567AE">
        <w:rPr>
          <w:rFonts w:ascii="Times New Roman" w:hAnsi="Times New Roman" w:cs="Times New Roman"/>
          <w:sz w:val="24"/>
          <w:szCs w:val="24"/>
        </w:rPr>
        <w:t>сумі 1</w:t>
      </w:r>
      <w:r w:rsidR="000567AE">
        <w:rPr>
          <w:rFonts w:ascii="Times New Roman" w:hAnsi="Times New Roman" w:cs="Times New Roman"/>
          <w:sz w:val="24"/>
          <w:szCs w:val="24"/>
        </w:rPr>
        <w:t>6</w:t>
      </w:r>
      <w:r w:rsidRPr="000567A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567AE">
        <w:rPr>
          <w:rFonts w:ascii="Times New Roman" w:hAnsi="Times New Roman" w:cs="Times New Roman"/>
          <w:sz w:val="24"/>
          <w:szCs w:val="24"/>
        </w:rPr>
        <w:t> </w:t>
      </w:r>
      <w:r w:rsidR="000567AE">
        <w:rPr>
          <w:rFonts w:ascii="Times New Roman" w:hAnsi="Times New Roman" w:cs="Times New Roman"/>
          <w:sz w:val="24"/>
          <w:szCs w:val="24"/>
        </w:rPr>
        <w:t>710</w:t>
      </w:r>
      <w:r w:rsidRPr="000567AE">
        <w:rPr>
          <w:rFonts w:ascii="Times New Roman" w:hAnsi="Times New Roman" w:cs="Times New Roman"/>
          <w:sz w:val="24"/>
          <w:szCs w:val="24"/>
        </w:rPr>
        <w:t>,</w:t>
      </w:r>
      <w:r w:rsidR="000567AE">
        <w:rPr>
          <w:rFonts w:ascii="Times New Roman" w:hAnsi="Times New Roman" w:cs="Times New Roman"/>
          <w:sz w:val="24"/>
          <w:szCs w:val="24"/>
        </w:rPr>
        <w:t>3</w:t>
      </w:r>
      <w:r w:rsidRPr="007611FB">
        <w:rPr>
          <w:rFonts w:ascii="Times New Roman" w:hAnsi="Times New Roman" w:cs="Times New Roman"/>
          <w:sz w:val="24"/>
          <w:szCs w:val="24"/>
        </w:rPr>
        <w:t> млн грн, у тому числі за:</w:t>
      </w:r>
    </w:p>
    <w:p w:rsidR="003F5355" w:rsidRPr="007611FB" w:rsidRDefault="003F5355" w:rsidP="003F5355">
      <w:pPr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 xml:space="preserve">загальним фондом – </w:t>
      </w:r>
      <w:r w:rsidRPr="000567AE">
        <w:rPr>
          <w:rFonts w:ascii="Times New Roman" w:hAnsi="Times New Roman" w:cs="Times New Roman"/>
          <w:sz w:val="24"/>
          <w:szCs w:val="24"/>
        </w:rPr>
        <w:t>1</w:t>
      </w:r>
      <w:r w:rsidR="000567AE">
        <w:rPr>
          <w:rFonts w:ascii="Times New Roman" w:hAnsi="Times New Roman" w:cs="Times New Roman"/>
          <w:sz w:val="24"/>
          <w:szCs w:val="24"/>
        </w:rPr>
        <w:t>37</w:t>
      </w:r>
      <w:r w:rsidRPr="000567AE">
        <w:rPr>
          <w:rFonts w:ascii="Times New Roman" w:hAnsi="Times New Roman" w:cs="Times New Roman"/>
          <w:sz w:val="24"/>
          <w:szCs w:val="24"/>
        </w:rPr>
        <w:t> </w:t>
      </w:r>
      <w:r w:rsidR="000567AE">
        <w:rPr>
          <w:rFonts w:ascii="Times New Roman" w:hAnsi="Times New Roman" w:cs="Times New Roman"/>
          <w:sz w:val="24"/>
          <w:szCs w:val="24"/>
        </w:rPr>
        <w:t>301</w:t>
      </w:r>
      <w:r w:rsidRPr="000567AE">
        <w:rPr>
          <w:rFonts w:ascii="Times New Roman" w:hAnsi="Times New Roman" w:cs="Times New Roman"/>
          <w:sz w:val="24"/>
          <w:szCs w:val="24"/>
        </w:rPr>
        <w:t>,</w:t>
      </w:r>
      <w:r w:rsidR="000567AE">
        <w:rPr>
          <w:rFonts w:ascii="Times New Roman" w:hAnsi="Times New Roman" w:cs="Times New Roman"/>
          <w:sz w:val="24"/>
          <w:szCs w:val="24"/>
        </w:rPr>
        <w:t>7</w:t>
      </w:r>
      <w:r w:rsidRPr="007611FB">
        <w:rPr>
          <w:rFonts w:ascii="Times New Roman" w:hAnsi="Times New Roman" w:cs="Times New Roman"/>
          <w:sz w:val="24"/>
          <w:szCs w:val="24"/>
        </w:rPr>
        <w:t> млн грн;</w:t>
      </w:r>
    </w:p>
    <w:p w:rsidR="003F5355" w:rsidRPr="007611FB" w:rsidRDefault="003F5355" w:rsidP="003F5355">
      <w:pPr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 xml:space="preserve">спеціальним фондом – </w:t>
      </w:r>
      <w:r w:rsidRPr="000567AE">
        <w:rPr>
          <w:rFonts w:ascii="Times New Roman" w:hAnsi="Times New Roman" w:cs="Times New Roman"/>
          <w:sz w:val="24"/>
          <w:szCs w:val="24"/>
        </w:rPr>
        <w:t>2</w:t>
      </w:r>
      <w:r w:rsidR="000567AE">
        <w:rPr>
          <w:rFonts w:ascii="Times New Roman" w:hAnsi="Times New Roman" w:cs="Times New Roman"/>
          <w:sz w:val="24"/>
          <w:szCs w:val="24"/>
        </w:rPr>
        <w:t>4</w:t>
      </w:r>
      <w:r w:rsidRPr="000567AE">
        <w:rPr>
          <w:rFonts w:ascii="Times New Roman" w:hAnsi="Times New Roman" w:cs="Times New Roman"/>
          <w:sz w:val="24"/>
          <w:szCs w:val="24"/>
        </w:rPr>
        <w:t> </w:t>
      </w:r>
      <w:r w:rsidR="000567AE">
        <w:rPr>
          <w:rFonts w:ascii="Times New Roman" w:hAnsi="Times New Roman" w:cs="Times New Roman"/>
          <w:sz w:val="24"/>
          <w:szCs w:val="24"/>
        </w:rPr>
        <w:t>408</w:t>
      </w:r>
      <w:r w:rsidRPr="000567AE">
        <w:rPr>
          <w:rFonts w:ascii="Times New Roman" w:hAnsi="Times New Roman" w:cs="Times New Roman"/>
          <w:sz w:val="24"/>
          <w:szCs w:val="24"/>
        </w:rPr>
        <w:t>,</w:t>
      </w:r>
      <w:r w:rsidR="000567AE">
        <w:rPr>
          <w:rFonts w:ascii="Times New Roman" w:hAnsi="Times New Roman" w:cs="Times New Roman"/>
          <w:sz w:val="24"/>
          <w:szCs w:val="24"/>
        </w:rPr>
        <w:t>6</w:t>
      </w:r>
      <w:r w:rsidRPr="007611FB">
        <w:rPr>
          <w:rFonts w:ascii="Times New Roman" w:hAnsi="Times New Roman" w:cs="Times New Roman"/>
          <w:sz w:val="24"/>
          <w:szCs w:val="24"/>
        </w:rPr>
        <w:t> млн гривень.</w:t>
      </w:r>
    </w:p>
    <w:p w:rsidR="003F5355" w:rsidRPr="007611FB" w:rsidRDefault="003F5355" w:rsidP="003F5355">
      <w:pPr>
        <w:tabs>
          <w:tab w:val="left" w:pos="993"/>
        </w:tabs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  <w:u w:val="single"/>
        </w:rPr>
        <w:t>За загальним фондом</w:t>
      </w:r>
      <w:r w:rsidRPr="007611FB">
        <w:rPr>
          <w:rFonts w:ascii="Times New Roman" w:hAnsi="Times New Roman" w:cs="Times New Roman"/>
          <w:sz w:val="24"/>
          <w:szCs w:val="24"/>
        </w:rPr>
        <w:t xml:space="preserve"> передбачено такі трансферти:</w:t>
      </w:r>
    </w:p>
    <w:p w:rsidR="003F5355" w:rsidRPr="00747416" w:rsidRDefault="003F5355" w:rsidP="003F5355">
      <w:pPr>
        <w:tabs>
          <w:tab w:val="left" w:pos="1134"/>
        </w:tabs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 xml:space="preserve">І. </w:t>
      </w:r>
      <w:r w:rsidRPr="007611FB">
        <w:rPr>
          <w:rFonts w:ascii="Times New Roman" w:hAnsi="Times New Roman" w:cs="Times New Roman"/>
          <w:sz w:val="24"/>
          <w:szCs w:val="24"/>
          <w:u w:val="single"/>
        </w:rPr>
        <w:t>Дотації</w:t>
      </w:r>
      <w:r w:rsidRPr="007611FB">
        <w:rPr>
          <w:rFonts w:ascii="Times New Roman" w:hAnsi="Times New Roman" w:cs="Times New Roman"/>
          <w:sz w:val="24"/>
          <w:szCs w:val="24"/>
        </w:rPr>
        <w:t xml:space="preserve"> – </w:t>
      </w:r>
      <w:r w:rsidRPr="00747416">
        <w:rPr>
          <w:rFonts w:ascii="Times New Roman" w:hAnsi="Times New Roman" w:cs="Times New Roman"/>
          <w:sz w:val="24"/>
          <w:szCs w:val="24"/>
        </w:rPr>
        <w:t>2</w:t>
      </w:r>
      <w:r w:rsidR="00747416" w:rsidRPr="00747416">
        <w:rPr>
          <w:rFonts w:ascii="Times New Roman" w:hAnsi="Times New Roman" w:cs="Times New Roman"/>
          <w:sz w:val="24"/>
          <w:szCs w:val="24"/>
        </w:rPr>
        <w:t>4</w:t>
      </w:r>
      <w:r w:rsidRPr="00747416">
        <w:rPr>
          <w:rFonts w:ascii="Times New Roman" w:hAnsi="Times New Roman" w:cs="Times New Roman"/>
          <w:sz w:val="24"/>
          <w:szCs w:val="24"/>
        </w:rPr>
        <w:t> </w:t>
      </w:r>
      <w:r w:rsidR="007F7B30">
        <w:rPr>
          <w:rFonts w:ascii="Times New Roman" w:hAnsi="Times New Roman" w:cs="Times New Roman"/>
          <w:sz w:val="24"/>
          <w:szCs w:val="24"/>
        </w:rPr>
        <w:t>289</w:t>
      </w:r>
      <w:r w:rsidRPr="00747416">
        <w:rPr>
          <w:rFonts w:ascii="Times New Roman" w:hAnsi="Times New Roman" w:cs="Times New Roman"/>
          <w:sz w:val="24"/>
          <w:szCs w:val="24"/>
        </w:rPr>
        <w:t>,</w:t>
      </w:r>
      <w:r w:rsidR="007F7B30">
        <w:rPr>
          <w:rFonts w:ascii="Times New Roman" w:hAnsi="Times New Roman" w:cs="Times New Roman"/>
          <w:sz w:val="24"/>
          <w:szCs w:val="24"/>
        </w:rPr>
        <w:t>4</w:t>
      </w:r>
      <w:r w:rsidRPr="00747416">
        <w:rPr>
          <w:rFonts w:ascii="Times New Roman" w:hAnsi="Times New Roman" w:cs="Times New Roman"/>
          <w:sz w:val="24"/>
          <w:szCs w:val="24"/>
        </w:rPr>
        <w:t> млн грн, у тому числі:</w:t>
      </w:r>
    </w:p>
    <w:p w:rsidR="003F5355" w:rsidRPr="00747416" w:rsidRDefault="003F5355" w:rsidP="003F5355">
      <w:pPr>
        <w:pStyle w:val="a3"/>
        <w:numPr>
          <w:ilvl w:val="0"/>
          <w:numId w:val="4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7416">
        <w:rPr>
          <w:rFonts w:ascii="Times New Roman" w:hAnsi="Times New Roman" w:cs="Times New Roman"/>
          <w:sz w:val="24"/>
          <w:szCs w:val="24"/>
        </w:rPr>
        <w:t>базова – 1</w:t>
      </w:r>
      <w:r w:rsidR="00747416">
        <w:rPr>
          <w:rFonts w:ascii="Times New Roman" w:hAnsi="Times New Roman" w:cs="Times New Roman"/>
          <w:sz w:val="24"/>
          <w:szCs w:val="24"/>
        </w:rPr>
        <w:t>5</w:t>
      </w:r>
      <w:r w:rsidRPr="00747416">
        <w:rPr>
          <w:rFonts w:ascii="Times New Roman" w:hAnsi="Times New Roman" w:cs="Times New Roman"/>
          <w:sz w:val="24"/>
          <w:szCs w:val="24"/>
        </w:rPr>
        <w:t> </w:t>
      </w:r>
      <w:r w:rsidR="007F7B30">
        <w:rPr>
          <w:rFonts w:ascii="Times New Roman" w:hAnsi="Times New Roman" w:cs="Times New Roman"/>
          <w:sz w:val="24"/>
          <w:szCs w:val="24"/>
        </w:rPr>
        <w:t>690</w:t>
      </w:r>
      <w:r w:rsidRPr="00747416">
        <w:rPr>
          <w:rFonts w:ascii="Times New Roman" w:hAnsi="Times New Roman" w:cs="Times New Roman"/>
          <w:sz w:val="24"/>
          <w:szCs w:val="24"/>
        </w:rPr>
        <w:t>,</w:t>
      </w:r>
      <w:r w:rsidR="007F7B30">
        <w:rPr>
          <w:rFonts w:ascii="Times New Roman" w:hAnsi="Times New Roman" w:cs="Times New Roman"/>
          <w:sz w:val="24"/>
          <w:szCs w:val="24"/>
        </w:rPr>
        <w:t>7</w:t>
      </w:r>
      <w:r w:rsidRPr="00747416">
        <w:rPr>
          <w:rFonts w:ascii="Times New Roman" w:hAnsi="Times New Roman" w:cs="Times New Roman"/>
          <w:sz w:val="24"/>
          <w:szCs w:val="24"/>
        </w:rPr>
        <w:t xml:space="preserve"> млн грн; </w:t>
      </w:r>
    </w:p>
    <w:p w:rsidR="003F5355" w:rsidRPr="007611FB" w:rsidRDefault="003F5355" w:rsidP="003F5355">
      <w:pPr>
        <w:pStyle w:val="a3"/>
        <w:numPr>
          <w:ilvl w:val="0"/>
          <w:numId w:val="5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7416">
        <w:rPr>
          <w:rFonts w:ascii="Times New Roman" w:hAnsi="Times New Roman" w:cs="Times New Roman"/>
          <w:sz w:val="24"/>
          <w:szCs w:val="24"/>
        </w:rPr>
        <w:t>додаткові – 8 </w:t>
      </w:r>
      <w:r w:rsidR="00747416">
        <w:rPr>
          <w:rFonts w:ascii="Times New Roman" w:hAnsi="Times New Roman" w:cs="Times New Roman"/>
          <w:sz w:val="24"/>
          <w:szCs w:val="24"/>
        </w:rPr>
        <w:t>598</w:t>
      </w:r>
      <w:r w:rsidRPr="00747416">
        <w:rPr>
          <w:rFonts w:ascii="Times New Roman" w:hAnsi="Times New Roman" w:cs="Times New Roman"/>
          <w:sz w:val="24"/>
          <w:szCs w:val="24"/>
        </w:rPr>
        <w:t>,</w:t>
      </w:r>
      <w:r w:rsidR="007F7B30">
        <w:rPr>
          <w:rFonts w:ascii="Times New Roman" w:hAnsi="Times New Roman" w:cs="Times New Roman"/>
          <w:sz w:val="24"/>
          <w:szCs w:val="24"/>
        </w:rPr>
        <w:t>7</w:t>
      </w:r>
      <w:r w:rsidRPr="00747416">
        <w:rPr>
          <w:rFonts w:ascii="Times New Roman" w:hAnsi="Times New Roman" w:cs="Times New Roman"/>
          <w:sz w:val="24"/>
          <w:szCs w:val="24"/>
        </w:rPr>
        <w:t> млн грн</w:t>
      </w:r>
      <w:r w:rsidRPr="007611FB">
        <w:rPr>
          <w:rFonts w:ascii="Times New Roman" w:hAnsi="Times New Roman" w:cs="Times New Roman"/>
          <w:sz w:val="24"/>
          <w:szCs w:val="24"/>
        </w:rPr>
        <w:t>, з них:</w:t>
      </w:r>
    </w:p>
    <w:p w:rsidR="003F5355" w:rsidRPr="007611FB" w:rsidRDefault="003F5355" w:rsidP="003F5355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 xml:space="preserve"> </w:t>
      </w:r>
      <w:r w:rsidRPr="007611FB">
        <w:rPr>
          <w:rFonts w:ascii="Times New Roman" w:hAnsi="Times New Roman" w:cs="Times New Roman"/>
          <w:bCs/>
          <w:i/>
          <w:kern w:val="24"/>
          <w:sz w:val="24"/>
          <w:szCs w:val="24"/>
        </w:rPr>
        <w:t xml:space="preserve">на здійснення переданих з державного бюджету видатків з утримання закладів освіти та охорони здоров’я </w:t>
      </w:r>
      <w:r w:rsidRPr="007611FB">
        <w:rPr>
          <w:rFonts w:ascii="Times New Roman" w:hAnsi="Times New Roman" w:cs="Times New Roman"/>
          <w:i/>
          <w:sz w:val="24"/>
          <w:szCs w:val="24"/>
        </w:rPr>
        <w:t>– 7 900,0  млн гривень.</w:t>
      </w:r>
    </w:p>
    <w:p w:rsidR="00D12656" w:rsidRDefault="003F5355" w:rsidP="003F535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 xml:space="preserve">Під час </w:t>
      </w:r>
      <w:r w:rsidR="00D12656">
        <w:rPr>
          <w:rFonts w:ascii="Times New Roman" w:hAnsi="Times New Roman" w:cs="Times New Roman"/>
          <w:sz w:val="24"/>
          <w:szCs w:val="24"/>
        </w:rPr>
        <w:t>здійснення розрахунку</w:t>
      </w:r>
      <w:r w:rsidRPr="007611FB">
        <w:rPr>
          <w:rFonts w:ascii="Times New Roman" w:hAnsi="Times New Roman" w:cs="Times New Roman"/>
          <w:sz w:val="24"/>
          <w:szCs w:val="24"/>
        </w:rPr>
        <w:t xml:space="preserve"> додаткової дотації </w:t>
      </w:r>
      <w:r w:rsidR="00D12656">
        <w:rPr>
          <w:rFonts w:ascii="Times New Roman" w:hAnsi="Times New Roman" w:cs="Times New Roman"/>
          <w:sz w:val="24"/>
          <w:szCs w:val="24"/>
        </w:rPr>
        <w:t>враховано такі параметри: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305"/>
        <w:gridCol w:w="2551"/>
        <w:gridCol w:w="1814"/>
      </w:tblGrid>
      <w:tr w:rsidR="00D12656" w:rsidRPr="007611FB" w:rsidTr="00FC6C07">
        <w:trPr>
          <w:tblHeader/>
        </w:trPr>
        <w:tc>
          <w:tcPr>
            <w:tcW w:w="4106" w:type="dxa"/>
            <w:shd w:val="clear" w:color="auto" w:fill="auto"/>
            <w:vAlign w:val="center"/>
          </w:tcPr>
          <w:p w:rsidR="00D12656" w:rsidRPr="007611FB" w:rsidRDefault="00D12656" w:rsidP="00E6152D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Показник*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12656" w:rsidRPr="007611FB" w:rsidRDefault="00D12656" w:rsidP="00E6152D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Звітна дата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656" w:rsidRPr="007611FB" w:rsidRDefault="00D12656" w:rsidP="00E6152D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Суб’єкт</w:t>
            </w:r>
          </w:p>
          <w:p w:rsidR="00D12656" w:rsidRPr="007611FB" w:rsidRDefault="00D12656" w:rsidP="00E6152D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надання</w:t>
            </w:r>
          </w:p>
          <w:p w:rsidR="00D12656" w:rsidRPr="007611FB" w:rsidRDefault="00D12656" w:rsidP="00E6152D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інформації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12656" w:rsidRPr="007611FB" w:rsidRDefault="00D12656" w:rsidP="00E6152D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Значення</w:t>
            </w:r>
          </w:p>
        </w:tc>
      </w:tr>
      <w:tr w:rsidR="00D12656" w:rsidRPr="007611FB" w:rsidTr="00FC6C07">
        <w:tc>
          <w:tcPr>
            <w:tcW w:w="4106" w:type="dxa"/>
            <w:shd w:val="clear" w:color="auto" w:fill="auto"/>
            <w:vAlign w:val="center"/>
          </w:tcPr>
          <w:p w:rsidR="00D12656" w:rsidRPr="007611FB" w:rsidRDefault="00153CD0" w:rsidP="00FC6C07">
            <w:pPr>
              <w:pStyle w:val="StyleZakonu"/>
              <w:spacing w:before="0" w:after="0"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Кількість учнів </w:t>
            </w:r>
            <w:r w:rsidR="00DF322B">
              <w:rPr>
                <w:sz w:val="22"/>
                <w:szCs w:val="22"/>
                <w:lang w:val="uk-UA"/>
              </w:rPr>
              <w:t xml:space="preserve">у </w:t>
            </w:r>
            <w:r>
              <w:rPr>
                <w:sz w:val="22"/>
                <w:szCs w:val="22"/>
                <w:lang w:val="uk-UA"/>
              </w:rPr>
              <w:t>заклад</w:t>
            </w:r>
            <w:r w:rsidR="00DF322B">
              <w:rPr>
                <w:sz w:val="22"/>
                <w:szCs w:val="22"/>
                <w:lang w:val="uk-UA"/>
              </w:rPr>
              <w:t>ах загальної середньої освіти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12656" w:rsidRPr="007611FB" w:rsidRDefault="00D12656" w:rsidP="00DF322B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Станом на 01.0</w:t>
            </w:r>
            <w:r w:rsidR="00DF322B">
              <w:rPr>
                <w:sz w:val="22"/>
                <w:szCs w:val="22"/>
                <w:lang w:val="uk-UA"/>
              </w:rPr>
              <w:t>8</w:t>
            </w:r>
            <w:r w:rsidRPr="007611FB">
              <w:rPr>
                <w:sz w:val="22"/>
                <w:szCs w:val="22"/>
                <w:lang w:val="uk-UA"/>
              </w:rPr>
              <w:t>.20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656" w:rsidRPr="007611FB" w:rsidRDefault="00DF322B" w:rsidP="00E6152D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Міністерство освіти і науки України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12656" w:rsidRPr="007611FB" w:rsidRDefault="00D12656" w:rsidP="00FC6C07">
            <w:pPr>
              <w:pStyle w:val="StyleZakonu"/>
              <w:spacing w:before="0" w:after="0" w:line="240" w:lineRule="auto"/>
              <w:ind w:firstLine="0"/>
              <w:jc w:val="right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3,</w:t>
            </w:r>
            <w:r w:rsidR="00DF322B">
              <w:rPr>
                <w:sz w:val="22"/>
                <w:szCs w:val="22"/>
                <w:lang w:val="uk-UA"/>
              </w:rPr>
              <w:t>9</w:t>
            </w:r>
            <w:r w:rsidRPr="007611FB">
              <w:rPr>
                <w:sz w:val="22"/>
                <w:szCs w:val="22"/>
                <w:lang w:val="uk-UA"/>
              </w:rPr>
              <w:t> млн </w:t>
            </w:r>
            <w:r w:rsidR="00DF322B">
              <w:rPr>
                <w:sz w:val="22"/>
                <w:szCs w:val="22"/>
                <w:lang w:val="uk-UA"/>
              </w:rPr>
              <w:t>чол</w:t>
            </w:r>
          </w:p>
        </w:tc>
      </w:tr>
      <w:tr w:rsidR="00D12656" w:rsidRPr="007611FB" w:rsidTr="00FC6C07">
        <w:tc>
          <w:tcPr>
            <w:tcW w:w="4106" w:type="dxa"/>
            <w:shd w:val="clear" w:color="auto" w:fill="auto"/>
            <w:vAlign w:val="center"/>
          </w:tcPr>
          <w:p w:rsidR="00D12656" w:rsidRPr="007611FB" w:rsidRDefault="00DF322B" w:rsidP="00FC6C07">
            <w:pPr>
              <w:pStyle w:val="StyleZakonu"/>
              <w:spacing w:before="0" w:after="0"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учнів, що здобувають загальну середню освіту у закладах професійної (професійно–технічної) освіти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12656" w:rsidRPr="007611FB" w:rsidRDefault="00D12656" w:rsidP="00E6152D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Станом на 01.01.20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656" w:rsidRPr="007611FB" w:rsidRDefault="00DF322B" w:rsidP="00E6152D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Міністерство освіти і науки України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12656" w:rsidRPr="007611FB" w:rsidRDefault="00DF322B" w:rsidP="00FC6C07">
            <w:pPr>
              <w:pStyle w:val="StyleZakonu"/>
              <w:spacing w:before="0" w:after="0" w:line="240" w:lineRule="auto"/>
              <w:ind w:firstLine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D12656" w:rsidRPr="007611FB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2</w:t>
            </w:r>
            <w:r w:rsidR="00D12656" w:rsidRPr="007611FB">
              <w:rPr>
                <w:sz w:val="22"/>
                <w:szCs w:val="22"/>
                <w:lang w:val="uk-UA"/>
              </w:rPr>
              <w:t> млн </w:t>
            </w:r>
            <w:r>
              <w:rPr>
                <w:sz w:val="22"/>
                <w:szCs w:val="22"/>
                <w:lang w:val="uk-UA"/>
              </w:rPr>
              <w:t>ч</w:t>
            </w:r>
            <w:r w:rsidR="00D12656" w:rsidRPr="007611FB">
              <w:rPr>
                <w:sz w:val="22"/>
                <w:szCs w:val="22"/>
                <w:lang w:val="uk-UA"/>
              </w:rPr>
              <w:t>о</w:t>
            </w:r>
            <w:r>
              <w:rPr>
                <w:sz w:val="22"/>
                <w:szCs w:val="22"/>
                <w:lang w:val="uk-UA"/>
              </w:rPr>
              <w:t>л</w:t>
            </w:r>
          </w:p>
        </w:tc>
      </w:tr>
      <w:tr w:rsidR="00D12656" w:rsidRPr="007611FB" w:rsidTr="00FC6C07">
        <w:tc>
          <w:tcPr>
            <w:tcW w:w="4106" w:type="dxa"/>
            <w:shd w:val="clear" w:color="auto" w:fill="auto"/>
            <w:vAlign w:val="center"/>
          </w:tcPr>
          <w:p w:rsidR="00D12656" w:rsidRPr="007611FB" w:rsidRDefault="00DF322B" w:rsidP="00FC6C07">
            <w:pPr>
              <w:pStyle w:val="StyleZakonu"/>
              <w:spacing w:before="0" w:after="0"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Чисельність наявного населення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12656" w:rsidRPr="007611FB" w:rsidRDefault="00DF322B" w:rsidP="00E6152D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Станом на 01.01.20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656" w:rsidRPr="007611FB" w:rsidRDefault="00DF322B" w:rsidP="00E6152D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Державна служба статистики України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12656" w:rsidRPr="007611FB" w:rsidRDefault="00DF322B" w:rsidP="00FC6C07">
            <w:pPr>
              <w:pStyle w:val="StyleZakonu"/>
              <w:spacing w:before="0" w:after="0" w:line="240" w:lineRule="auto"/>
              <w:ind w:firstLine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35,2 </w:t>
            </w:r>
            <w:proofErr w:type="spellStart"/>
            <w:r>
              <w:rPr>
                <w:sz w:val="22"/>
                <w:szCs w:val="22"/>
                <w:lang w:val="uk-UA"/>
              </w:rPr>
              <w:t>млн чо</w:t>
            </w:r>
            <w:proofErr w:type="spellEnd"/>
            <w:r>
              <w:rPr>
                <w:sz w:val="22"/>
                <w:szCs w:val="22"/>
                <w:lang w:val="uk-UA"/>
              </w:rPr>
              <w:t>л</w:t>
            </w:r>
          </w:p>
        </w:tc>
      </w:tr>
      <w:tr w:rsidR="00DF322B" w:rsidRPr="007611FB" w:rsidTr="00FC6C07">
        <w:tc>
          <w:tcPr>
            <w:tcW w:w="4106" w:type="dxa"/>
            <w:shd w:val="clear" w:color="auto" w:fill="auto"/>
            <w:vAlign w:val="center"/>
          </w:tcPr>
          <w:p w:rsidR="00DF322B" w:rsidRPr="007611FB" w:rsidRDefault="00DF322B" w:rsidP="00FC6C07">
            <w:pPr>
              <w:pStyle w:val="StyleZakonu"/>
              <w:spacing w:before="0" w:after="0"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Кількість облікованих внутрішньо переміщених осіб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F322B" w:rsidRPr="007611FB" w:rsidRDefault="00DF322B" w:rsidP="00DF322B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Станом на 01.01.20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322B" w:rsidRPr="007611FB" w:rsidRDefault="00DF322B" w:rsidP="00DF322B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Міністерство соціальної політики України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F322B" w:rsidRPr="007611FB" w:rsidRDefault="00DF322B" w:rsidP="00FC6C07">
            <w:pPr>
              <w:pStyle w:val="StyleZakonu"/>
              <w:spacing w:before="0" w:after="0" w:line="240" w:lineRule="auto"/>
              <w:ind w:firstLine="0"/>
              <w:jc w:val="right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1,3 млн </w:t>
            </w:r>
            <w:r w:rsidR="00E96507">
              <w:rPr>
                <w:sz w:val="22"/>
                <w:szCs w:val="22"/>
                <w:lang w:val="uk-UA"/>
              </w:rPr>
              <w:t>чол</w:t>
            </w:r>
          </w:p>
        </w:tc>
      </w:tr>
      <w:tr w:rsidR="00D12656" w:rsidRPr="007611FB" w:rsidTr="00FC6C07">
        <w:tc>
          <w:tcPr>
            <w:tcW w:w="4106" w:type="dxa"/>
            <w:shd w:val="clear" w:color="auto" w:fill="auto"/>
            <w:vAlign w:val="center"/>
          </w:tcPr>
          <w:p w:rsidR="00D12656" w:rsidRPr="007611FB" w:rsidRDefault="00DF322B" w:rsidP="00FC6C07">
            <w:pPr>
              <w:pStyle w:val="StyleZakonu"/>
              <w:spacing w:before="0" w:after="0"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Надходження податку на доходи фізичних осіб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12656" w:rsidRPr="007611FB" w:rsidRDefault="00DF322B" w:rsidP="00DF322B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611FB">
              <w:rPr>
                <w:sz w:val="22"/>
                <w:szCs w:val="22"/>
                <w:lang w:val="uk-UA"/>
              </w:rPr>
              <w:t>Станом на 01.0</w:t>
            </w:r>
            <w:r>
              <w:rPr>
                <w:sz w:val="22"/>
                <w:szCs w:val="22"/>
                <w:lang w:val="uk-UA"/>
              </w:rPr>
              <w:t>9</w:t>
            </w:r>
            <w:r w:rsidRPr="007611FB">
              <w:rPr>
                <w:sz w:val="22"/>
                <w:szCs w:val="22"/>
                <w:lang w:val="uk-UA"/>
              </w:rPr>
              <w:t>.20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656" w:rsidRPr="007611FB" w:rsidRDefault="00DF322B" w:rsidP="00E6152D">
            <w:pPr>
              <w:pStyle w:val="StyleZakonu"/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Державна казначейська служба України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12656" w:rsidRPr="007611FB" w:rsidRDefault="00DF322B" w:rsidP="00FC6C07">
            <w:pPr>
              <w:pStyle w:val="StyleZakonu"/>
              <w:spacing w:before="0" w:after="0" w:line="240" w:lineRule="auto"/>
              <w:ind w:firstLine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94 727,2 млн грн</w:t>
            </w:r>
          </w:p>
        </w:tc>
      </w:tr>
    </w:tbl>
    <w:p w:rsidR="00DF322B" w:rsidRPr="00DF322B" w:rsidRDefault="00DF322B" w:rsidP="00DF322B">
      <w:pPr>
        <w:pStyle w:val="StyleZakonu"/>
        <w:spacing w:before="0" w:after="0" w:line="240" w:lineRule="auto"/>
        <w:ind w:firstLine="709"/>
        <w:rPr>
          <w:i/>
          <w:sz w:val="24"/>
          <w:szCs w:val="24"/>
        </w:rPr>
      </w:pPr>
      <w:r w:rsidRPr="00DF322B">
        <w:rPr>
          <w:i/>
          <w:sz w:val="24"/>
          <w:szCs w:val="24"/>
        </w:rPr>
        <w:lastRenderedPageBreak/>
        <w:t>* - без урахування показників по бюджету міста Києва та населених пунктів</w:t>
      </w:r>
      <w:r w:rsidRPr="00DF322B">
        <w:rPr>
          <w:i/>
          <w:sz w:val="24"/>
          <w:szCs w:val="24"/>
          <w:lang w:val="ru-RU"/>
        </w:rPr>
        <w:t xml:space="preserve"> </w:t>
      </w:r>
      <w:proofErr w:type="spellStart"/>
      <w:r w:rsidRPr="00DF322B">
        <w:rPr>
          <w:i/>
          <w:sz w:val="24"/>
          <w:szCs w:val="24"/>
          <w:lang w:val="ru-RU"/>
        </w:rPr>
        <w:t>Донецької</w:t>
      </w:r>
      <w:proofErr w:type="spellEnd"/>
      <w:r w:rsidRPr="00DF322B">
        <w:rPr>
          <w:i/>
          <w:sz w:val="24"/>
          <w:szCs w:val="24"/>
          <w:lang w:val="ru-RU"/>
        </w:rPr>
        <w:t xml:space="preserve"> та </w:t>
      </w:r>
      <w:proofErr w:type="spellStart"/>
      <w:r w:rsidRPr="00DF322B">
        <w:rPr>
          <w:i/>
          <w:sz w:val="24"/>
          <w:szCs w:val="24"/>
          <w:lang w:val="ru-RU"/>
        </w:rPr>
        <w:t>Луганської</w:t>
      </w:r>
      <w:proofErr w:type="spellEnd"/>
      <w:r w:rsidRPr="00DF322B">
        <w:rPr>
          <w:i/>
          <w:sz w:val="24"/>
          <w:szCs w:val="24"/>
          <w:lang w:val="ru-RU"/>
        </w:rPr>
        <w:t xml:space="preserve"> областей</w:t>
      </w:r>
      <w:r w:rsidRPr="00DF322B">
        <w:rPr>
          <w:i/>
          <w:sz w:val="24"/>
          <w:szCs w:val="24"/>
        </w:rPr>
        <w:t>, на території яких органи державної влади тимчасово не здійснюють свої повноваження.</w:t>
      </w:r>
    </w:p>
    <w:p w:rsidR="003F5355" w:rsidRPr="007611FB" w:rsidRDefault="003F5355" w:rsidP="003F5355">
      <w:pPr>
        <w:pStyle w:val="a3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1FB">
        <w:rPr>
          <w:rFonts w:ascii="Times New Roman" w:hAnsi="Times New Roman" w:cs="Times New Roman"/>
          <w:i/>
          <w:sz w:val="24"/>
          <w:szCs w:val="24"/>
        </w:rPr>
        <w:t xml:space="preserve">на компенсацію втрат доходів місцевих бюджетів внаслідок наданих державою податкових пільг зі сплати земельного податку суб’єктам космічної діяльності та літакобудування – </w:t>
      </w:r>
      <w:r w:rsidR="00747416">
        <w:rPr>
          <w:rFonts w:ascii="Times New Roman" w:hAnsi="Times New Roman" w:cs="Times New Roman"/>
          <w:i/>
          <w:sz w:val="24"/>
          <w:szCs w:val="24"/>
        </w:rPr>
        <w:t>668</w:t>
      </w:r>
      <w:r w:rsidRPr="007611FB">
        <w:rPr>
          <w:rFonts w:ascii="Times New Roman" w:hAnsi="Times New Roman" w:cs="Times New Roman"/>
          <w:i/>
          <w:sz w:val="24"/>
          <w:szCs w:val="24"/>
        </w:rPr>
        <w:t>,</w:t>
      </w:r>
      <w:r w:rsidR="007F7B30">
        <w:rPr>
          <w:rFonts w:ascii="Times New Roman" w:hAnsi="Times New Roman" w:cs="Times New Roman"/>
          <w:i/>
          <w:sz w:val="24"/>
          <w:szCs w:val="24"/>
        </w:rPr>
        <w:t>7</w:t>
      </w:r>
      <w:r w:rsidRPr="007611FB">
        <w:rPr>
          <w:rFonts w:ascii="Times New Roman" w:hAnsi="Times New Roman" w:cs="Times New Roman"/>
          <w:i/>
          <w:sz w:val="24"/>
          <w:szCs w:val="24"/>
        </w:rPr>
        <w:t xml:space="preserve"> млн грн </w:t>
      </w:r>
      <w:r w:rsidRPr="007611FB">
        <w:rPr>
          <w:rFonts w:ascii="Times New Roman" w:hAnsi="Times New Roman" w:cs="Times New Roman"/>
          <w:sz w:val="24"/>
          <w:szCs w:val="24"/>
        </w:rPr>
        <w:t xml:space="preserve">(на підставі даних </w:t>
      </w:r>
      <w:r w:rsidR="008D4874">
        <w:rPr>
          <w:rFonts w:ascii="Times New Roman" w:hAnsi="Times New Roman" w:cs="Times New Roman"/>
          <w:sz w:val="24"/>
          <w:szCs w:val="24"/>
        </w:rPr>
        <w:t xml:space="preserve">місцевих </w:t>
      </w:r>
      <w:r w:rsidRPr="007611FB">
        <w:rPr>
          <w:rFonts w:ascii="Times New Roman" w:hAnsi="Times New Roman" w:cs="Times New Roman"/>
          <w:sz w:val="24"/>
          <w:szCs w:val="24"/>
        </w:rPr>
        <w:t>фінансових органів Дніпропетровської, Запорізької, Харківської, Чернігівської обласних та Київської міської державних адміністрацій щодо сум наданих пільг по земельному податку суб’єктам космічної дія</w:t>
      </w:r>
      <w:r w:rsidR="00747416">
        <w:rPr>
          <w:rFonts w:ascii="Times New Roman" w:hAnsi="Times New Roman" w:cs="Times New Roman"/>
          <w:sz w:val="24"/>
          <w:szCs w:val="24"/>
        </w:rPr>
        <w:t>льності та літакобудування у 2020</w:t>
      </w:r>
      <w:r w:rsidR="00FC6C07">
        <w:rPr>
          <w:rFonts w:ascii="Times New Roman" w:hAnsi="Times New Roman" w:cs="Times New Roman"/>
          <w:sz w:val="24"/>
          <w:szCs w:val="24"/>
        </w:rPr>
        <w:t> році);</w:t>
      </w:r>
    </w:p>
    <w:p w:rsidR="003F5355" w:rsidRPr="007611FB" w:rsidRDefault="003F5355" w:rsidP="003F5355">
      <w:pPr>
        <w:pStyle w:val="a3"/>
        <w:numPr>
          <w:ilvl w:val="0"/>
          <w:numId w:val="3"/>
        </w:numPr>
        <w:tabs>
          <w:tab w:val="left" w:pos="0"/>
          <w:tab w:val="left" w:pos="567"/>
          <w:tab w:val="left" w:pos="851"/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1FB">
        <w:rPr>
          <w:rFonts w:ascii="Times New Roman" w:hAnsi="Times New Roman" w:cs="Times New Roman"/>
          <w:i/>
          <w:sz w:val="24"/>
          <w:szCs w:val="24"/>
        </w:rPr>
        <w:t xml:space="preserve"> міському бюджету міста Славутича на забезпечення утримання соціальної інфраструктури міста – 30,0 млн гривень</w:t>
      </w:r>
      <w:r w:rsidRPr="007611FB">
        <w:rPr>
          <w:rFonts w:ascii="Times New Roman" w:hAnsi="Times New Roman" w:cs="Times New Roman"/>
          <w:sz w:val="24"/>
          <w:szCs w:val="24"/>
        </w:rPr>
        <w:t>.</w:t>
      </w:r>
    </w:p>
    <w:p w:rsidR="003F5355" w:rsidRPr="007611FB" w:rsidRDefault="003F5355" w:rsidP="003F5355">
      <w:pPr>
        <w:tabs>
          <w:tab w:val="left" w:pos="1134"/>
        </w:tabs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 xml:space="preserve">ІІ. </w:t>
      </w:r>
      <w:r w:rsidRPr="007611FB">
        <w:rPr>
          <w:rFonts w:ascii="Times New Roman" w:hAnsi="Times New Roman" w:cs="Times New Roman"/>
          <w:sz w:val="24"/>
          <w:szCs w:val="24"/>
          <w:u w:val="single"/>
        </w:rPr>
        <w:t>Субвенції</w:t>
      </w:r>
      <w:r w:rsidRPr="007611FB">
        <w:rPr>
          <w:rFonts w:ascii="Times New Roman" w:hAnsi="Times New Roman" w:cs="Times New Roman"/>
          <w:sz w:val="24"/>
          <w:szCs w:val="24"/>
        </w:rPr>
        <w:t xml:space="preserve"> </w:t>
      </w:r>
      <w:r w:rsidRPr="007F7B30">
        <w:rPr>
          <w:rFonts w:ascii="Times New Roman" w:hAnsi="Times New Roman" w:cs="Times New Roman"/>
          <w:sz w:val="24"/>
          <w:szCs w:val="24"/>
        </w:rPr>
        <w:t>– 1</w:t>
      </w:r>
      <w:r w:rsidR="007F7B30">
        <w:rPr>
          <w:rFonts w:ascii="Times New Roman" w:hAnsi="Times New Roman" w:cs="Times New Roman"/>
          <w:sz w:val="24"/>
          <w:szCs w:val="24"/>
        </w:rPr>
        <w:t>1</w:t>
      </w:r>
      <w:r w:rsidRPr="007F7B30">
        <w:rPr>
          <w:rFonts w:ascii="Times New Roman" w:hAnsi="Times New Roman" w:cs="Times New Roman"/>
          <w:sz w:val="24"/>
          <w:szCs w:val="24"/>
        </w:rPr>
        <w:t>3 </w:t>
      </w:r>
      <w:r w:rsidR="007F7B30">
        <w:rPr>
          <w:rFonts w:ascii="Times New Roman" w:hAnsi="Times New Roman" w:cs="Times New Roman"/>
          <w:sz w:val="24"/>
          <w:szCs w:val="24"/>
        </w:rPr>
        <w:t>012</w:t>
      </w:r>
      <w:r w:rsidRPr="007F7B30">
        <w:rPr>
          <w:rFonts w:ascii="Times New Roman" w:hAnsi="Times New Roman" w:cs="Times New Roman"/>
          <w:sz w:val="24"/>
          <w:szCs w:val="24"/>
        </w:rPr>
        <w:t>,</w:t>
      </w:r>
      <w:r w:rsidR="007F7B30">
        <w:rPr>
          <w:rFonts w:ascii="Times New Roman" w:hAnsi="Times New Roman" w:cs="Times New Roman"/>
          <w:sz w:val="24"/>
          <w:szCs w:val="24"/>
        </w:rPr>
        <w:t>3</w:t>
      </w:r>
      <w:r w:rsidRPr="007611F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611FB">
        <w:rPr>
          <w:rFonts w:ascii="Times New Roman" w:hAnsi="Times New Roman" w:cs="Times New Roman"/>
          <w:sz w:val="24"/>
          <w:szCs w:val="24"/>
        </w:rPr>
        <w:t>млн</w:t>
      </w:r>
      <w:r w:rsidRPr="007611F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611FB">
        <w:rPr>
          <w:rFonts w:ascii="Times New Roman" w:hAnsi="Times New Roman" w:cs="Times New Roman"/>
          <w:sz w:val="24"/>
          <w:szCs w:val="24"/>
        </w:rPr>
        <w:t>грн, у тому числі:</w:t>
      </w:r>
    </w:p>
    <w:p w:rsidR="003F5355" w:rsidRPr="007611FB" w:rsidRDefault="003F5355" w:rsidP="003F5355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 xml:space="preserve">на освіту – </w:t>
      </w:r>
      <w:r w:rsidR="00770A1E">
        <w:rPr>
          <w:rFonts w:ascii="Times New Roman" w:hAnsi="Times New Roman" w:cs="Times New Roman"/>
          <w:sz w:val="24"/>
          <w:szCs w:val="24"/>
        </w:rPr>
        <w:t>10</w:t>
      </w:r>
      <w:r w:rsidR="007F7B30">
        <w:rPr>
          <w:rFonts w:ascii="Times New Roman" w:hAnsi="Times New Roman" w:cs="Times New Roman"/>
          <w:sz w:val="24"/>
          <w:szCs w:val="24"/>
        </w:rPr>
        <w:t>6</w:t>
      </w:r>
      <w:r w:rsidRPr="007611FB">
        <w:rPr>
          <w:rFonts w:ascii="Times New Roman" w:hAnsi="Times New Roman" w:cs="Times New Roman"/>
          <w:sz w:val="24"/>
          <w:szCs w:val="24"/>
        </w:rPr>
        <w:t> </w:t>
      </w:r>
      <w:r w:rsidR="007F7B30">
        <w:rPr>
          <w:rFonts w:ascii="Times New Roman" w:hAnsi="Times New Roman" w:cs="Times New Roman"/>
          <w:sz w:val="24"/>
          <w:szCs w:val="24"/>
        </w:rPr>
        <w:t>582</w:t>
      </w:r>
      <w:r w:rsidRPr="007611FB">
        <w:rPr>
          <w:rFonts w:ascii="Times New Roman" w:hAnsi="Times New Roman" w:cs="Times New Roman"/>
          <w:sz w:val="24"/>
          <w:szCs w:val="24"/>
        </w:rPr>
        <w:t>,</w:t>
      </w:r>
      <w:r w:rsidR="007F7B30">
        <w:rPr>
          <w:rFonts w:ascii="Times New Roman" w:hAnsi="Times New Roman" w:cs="Times New Roman"/>
          <w:sz w:val="24"/>
          <w:szCs w:val="24"/>
        </w:rPr>
        <w:t>7</w:t>
      </w:r>
      <w:r w:rsidRPr="007611FB">
        <w:rPr>
          <w:rFonts w:ascii="Times New Roman" w:hAnsi="Times New Roman" w:cs="Times New Roman"/>
          <w:sz w:val="24"/>
          <w:szCs w:val="24"/>
        </w:rPr>
        <w:t> млн</w:t>
      </w:r>
      <w:r w:rsidRPr="007611F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611FB">
        <w:rPr>
          <w:rFonts w:ascii="Times New Roman" w:hAnsi="Times New Roman" w:cs="Times New Roman"/>
          <w:sz w:val="24"/>
          <w:szCs w:val="24"/>
        </w:rPr>
        <w:t>грн</w:t>
      </w:r>
      <w:r w:rsidR="00770A1E">
        <w:rPr>
          <w:rFonts w:ascii="Times New Roman" w:hAnsi="Times New Roman" w:cs="Times New Roman"/>
          <w:sz w:val="24"/>
          <w:szCs w:val="24"/>
        </w:rPr>
        <w:t xml:space="preserve">, </w:t>
      </w:r>
      <w:r w:rsidRPr="007611FB">
        <w:rPr>
          <w:rFonts w:ascii="Times New Roman" w:hAnsi="Times New Roman" w:cs="Times New Roman"/>
          <w:sz w:val="24"/>
          <w:szCs w:val="24"/>
        </w:rPr>
        <w:t>у тому числі:</w:t>
      </w:r>
    </w:p>
    <w:p w:rsidR="00770A1E" w:rsidRDefault="003F5355" w:rsidP="003F5355">
      <w:pPr>
        <w:numPr>
          <w:ilvl w:val="0"/>
          <w:numId w:val="8"/>
        </w:numPr>
        <w:tabs>
          <w:tab w:val="left" w:pos="851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 xml:space="preserve">освітня – </w:t>
      </w:r>
      <w:r w:rsidR="00770A1E">
        <w:rPr>
          <w:rFonts w:ascii="Times New Roman" w:hAnsi="Times New Roman" w:cs="Times New Roman"/>
          <w:sz w:val="24"/>
          <w:szCs w:val="24"/>
        </w:rPr>
        <w:t>102</w:t>
      </w:r>
      <w:r w:rsidRPr="007611FB">
        <w:rPr>
          <w:rFonts w:ascii="Times New Roman" w:hAnsi="Times New Roman" w:cs="Times New Roman"/>
          <w:sz w:val="24"/>
          <w:szCs w:val="24"/>
        </w:rPr>
        <w:t> 5</w:t>
      </w:r>
      <w:r w:rsidR="00770A1E">
        <w:rPr>
          <w:rFonts w:ascii="Times New Roman" w:hAnsi="Times New Roman" w:cs="Times New Roman"/>
          <w:sz w:val="24"/>
          <w:szCs w:val="24"/>
        </w:rPr>
        <w:t>07</w:t>
      </w:r>
      <w:r w:rsidRPr="007611FB">
        <w:rPr>
          <w:rFonts w:ascii="Times New Roman" w:hAnsi="Times New Roman" w:cs="Times New Roman"/>
          <w:sz w:val="24"/>
          <w:szCs w:val="24"/>
        </w:rPr>
        <w:t>,</w:t>
      </w:r>
      <w:r w:rsidR="00770A1E">
        <w:rPr>
          <w:rFonts w:ascii="Times New Roman" w:hAnsi="Times New Roman" w:cs="Times New Roman"/>
          <w:sz w:val="24"/>
          <w:szCs w:val="24"/>
        </w:rPr>
        <w:t>0</w:t>
      </w:r>
      <w:r w:rsidRPr="007611FB">
        <w:rPr>
          <w:rFonts w:ascii="Times New Roman" w:hAnsi="Times New Roman" w:cs="Times New Roman"/>
          <w:sz w:val="24"/>
          <w:szCs w:val="24"/>
        </w:rPr>
        <w:t> </w:t>
      </w:r>
      <w:r w:rsidRPr="007611FB">
        <w:rPr>
          <w:rFonts w:ascii="Times New Roman" w:hAnsi="Times New Roman" w:cs="Times New Roman"/>
          <w:bCs/>
          <w:sz w:val="24"/>
          <w:szCs w:val="24"/>
        </w:rPr>
        <w:t>млн грн</w:t>
      </w:r>
      <w:r w:rsidR="00770A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70A1E" w:rsidRPr="0001397E" w:rsidRDefault="00770A1E" w:rsidP="003F5355">
      <w:pPr>
        <w:pStyle w:val="a3"/>
        <w:tabs>
          <w:tab w:val="left" w:pos="1134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0A1E">
        <w:rPr>
          <w:rFonts w:ascii="Times New Roman" w:hAnsi="Times New Roman" w:cs="Times New Roman"/>
          <w:sz w:val="24"/>
          <w:szCs w:val="24"/>
        </w:rPr>
        <w:t>На виконання постанови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A1E">
        <w:rPr>
          <w:rFonts w:ascii="Times New Roman" w:hAnsi="Times New Roman" w:cs="Times New Roman"/>
          <w:sz w:val="24"/>
          <w:szCs w:val="24"/>
        </w:rPr>
        <w:t xml:space="preserve">Кабінету Міністрів України від 27.12.2017 № 1088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770A1E">
        <w:rPr>
          <w:rFonts w:ascii="Times New Roman" w:hAnsi="Times New Roman" w:cs="Times New Roman"/>
          <w:sz w:val="24"/>
          <w:szCs w:val="24"/>
        </w:rPr>
        <w:t>Про затвердження формули розподілу освітньої субвенції між місцевими бюджетами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770A1E">
        <w:rPr>
          <w:rFonts w:ascii="Times New Roman" w:hAnsi="Times New Roman" w:cs="Times New Roman"/>
          <w:sz w:val="24"/>
          <w:szCs w:val="24"/>
        </w:rPr>
        <w:t xml:space="preserve"> для кожної </w:t>
      </w:r>
      <w:r w:rsidRPr="007F7B30">
        <w:rPr>
          <w:rFonts w:ascii="Times New Roman" w:hAnsi="Times New Roman" w:cs="Times New Roman"/>
          <w:sz w:val="24"/>
          <w:szCs w:val="24"/>
        </w:rPr>
        <w:t>адміністративно–територіальної одиниці здійснено перегляд розрахункової наповнюваності класів</w:t>
      </w:r>
      <w:r w:rsidR="0001397E">
        <w:rPr>
          <w:rFonts w:ascii="Times New Roman" w:hAnsi="Times New Roman" w:cs="Times New Roman"/>
          <w:sz w:val="24"/>
          <w:szCs w:val="24"/>
        </w:rPr>
        <w:t>.</w:t>
      </w:r>
    </w:p>
    <w:p w:rsidR="00770A1E" w:rsidRPr="007F7B30" w:rsidRDefault="00770A1E" w:rsidP="00770A1E">
      <w:pPr>
        <w:numPr>
          <w:ilvl w:val="0"/>
          <w:numId w:val="9"/>
        </w:numPr>
        <w:tabs>
          <w:tab w:val="left" w:pos="851"/>
        </w:tabs>
        <w:spacing w:before="120" w:after="12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B30">
        <w:rPr>
          <w:rFonts w:ascii="Times New Roman" w:eastAsia="Calibri" w:hAnsi="Times New Roman" w:cs="Times New Roman"/>
          <w:sz w:val="24"/>
          <w:szCs w:val="24"/>
        </w:rPr>
        <w:t xml:space="preserve">на забезпечення якісної, сучасної та доступної загальної середньої освіти </w:t>
      </w:r>
      <w:r w:rsidRPr="007F7B30">
        <w:rPr>
          <w:rFonts w:ascii="Times New Roman" w:hAnsi="Times New Roman" w:cs="Times New Roman"/>
          <w:sz w:val="24"/>
          <w:szCs w:val="24"/>
        </w:rPr>
        <w:t>"</w:t>
      </w:r>
      <w:r w:rsidRPr="007F7B30">
        <w:rPr>
          <w:rFonts w:ascii="Times New Roman" w:eastAsia="Calibri" w:hAnsi="Times New Roman" w:cs="Times New Roman"/>
          <w:sz w:val="24"/>
          <w:szCs w:val="24"/>
        </w:rPr>
        <w:t>Нова українська школа</w:t>
      </w:r>
      <w:r w:rsidRPr="007F7B30">
        <w:rPr>
          <w:rFonts w:ascii="Times New Roman" w:hAnsi="Times New Roman" w:cs="Times New Roman"/>
          <w:sz w:val="24"/>
          <w:szCs w:val="24"/>
        </w:rPr>
        <w:t>"</w:t>
      </w:r>
      <w:r w:rsidRPr="007F7B30">
        <w:rPr>
          <w:rFonts w:ascii="Times New Roman" w:eastAsia="Calibri" w:hAnsi="Times New Roman" w:cs="Times New Roman"/>
          <w:sz w:val="24"/>
          <w:szCs w:val="24"/>
        </w:rPr>
        <w:t xml:space="preserve"> – 1 421,3 млн грн; </w:t>
      </w:r>
    </w:p>
    <w:p w:rsidR="00770A1E" w:rsidRPr="007F7B30" w:rsidRDefault="00770A1E" w:rsidP="00770A1E">
      <w:pPr>
        <w:numPr>
          <w:ilvl w:val="0"/>
          <w:numId w:val="9"/>
        </w:numPr>
        <w:tabs>
          <w:tab w:val="left" w:pos="851"/>
        </w:tabs>
        <w:spacing w:before="120" w:after="12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B30">
        <w:rPr>
          <w:rFonts w:ascii="Times New Roman" w:eastAsia="Calibri" w:hAnsi="Times New Roman" w:cs="Times New Roman"/>
          <w:sz w:val="24"/>
          <w:szCs w:val="24"/>
        </w:rPr>
        <w:t xml:space="preserve">на реалізацію програми </w:t>
      </w:r>
      <w:r w:rsidRPr="007F7B30">
        <w:rPr>
          <w:rFonts w:ascii="Times New Roman" w:hAnsi="Times New Roman" w:cs="Times New Roman"/>
          <w:sz w:val="24"/>
          <w:szCs w:val="24"/>
        </w:rPr>
        <w:t>"Спроможна</w:t>
      </w:r>
      <w:r w:rsidRPr="007F7B30">
        <w:rPr>
          <w:rFonts w:ascii="Times New Roman" w:eastAsia="Calibri" w:hAnsi="Times New Roman" w:cs="Times New Roman"/>
          <w:sz w:val="24"/>
          <w:szCs w:val="24"/>
        </w:rPr>
        <w:t xml:space="preserve"> школа для кращих результатів</w:t>
      </w:r>
      <w:r w:rsidRPr="007F7B30">
        <w:rPr>
          <w:rFonts w:ascii="Times New Roman" w:hAnsi="Times New Roman" w:cs="Times New Roman"/>
          <w:sz w:val="24"/>
          <w:szCs w:val="24"/>
        </w:rPr>
        <w:t>"</w:t>
      </w:r>
      <w:r w:rsidRPr="007F7B30">
        <w:rPr>
          <w:rFonts w:ascii="Times New Roman" w:eastAsia="Calibri" w:hAnsi="Times New Roman" w:cs="Times New Roman"/>
          <w:sz w:val="24"/>
          <w:szCs w:val="24"/>
        </w:rPr>
        <w:t> – 1 000,0 млн грн;</w:t>
      </w:r>
    </w:p>
    <w:p w:rsidR="003F5355" w:rsidRPr="007F7B30" w:rsidRDefault="003F5355" w:rsidP="003F5355">
      <w:pPr>
        <w:numPr>
          <w:ilvl w:val="0"/>
          <w:numId w:val="9"/>
        </w:numPr>
        <w:tabs>
          <w:tab w:val="left" w:pos="851"/>
        </w:tabs>
        <w:spacing w:before="120" w:after="12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B30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267195" w:rsidRPr="007F7B30">
        <w:rPr>
          <w:rFonts w:ascii="Times New Roman" w:hAnsi="Times New Roman" w:cs="Times New Roman"/>
          <w:sz w:val="24"/>
          <w:szCs w:val="24"/>
        </w:rPr>
        <w:t>створення навчально-практичних центрів сучасної</w:t>
      </w:r>
      <w:r w:rsidRPr="007F7B30">
        <w:rPr>
          <w:rFonts w:ascii="Times New Roman" w:hAnsi="Times New Roman" w:cs="Times New Roman"/>
          <w:sz w:val="24"/>
          <w:szCs w:val="24"/>
        </w:rPr>
        <w:t xml:space="preserve"> професійної (професійно-технічної) освіти</w:t>
      </w:r>
      <w:r w:rsidRPr="007F7B30">
        <w:rPr>
          <w:rFonts w:ascii="Times New Roman" w:eastAsia="Calibri" w:hAnsi="Times New Roman" w:cs="Times New Roman"/>
          <w:sz w:val="24"/>
          <w:szCs w:val="24"/>
        </w:rPr>
        <w:t> – 1</w:t>
      </w:r>
      <w:r w:rsidR="00267195" w:rsidRPr="007F7B30">
        <w:rPr>
          <w:rFonts w:ascii="Times New Roman" w:eastAsia="Calibri" w:hAnsi="Times New Roman" w:cs="Times New Roman"/>
          <w:sz w:val="24"/>
          <w:szCs w:val="24"/>
        </w:rPr>
        <w:t>5</w:t>
      </w:r>
      <w:r w:rsidRPr="007F7B30">
        <w:rPr>
          <w:rFonts w:ascii="Times New Roman" w:eastAsia="Calibri" w:hAnsi="Times New Roman" w:cs="Times New Roman"/>
          <w:sz w:val="24"/>
          <w:szCs w:val="24"/>
        </w:rPr>
        <w:t>0,0 млн грн;</w:t>
      </w:r>
    </w:p>
    <w:p w:rsidR="00B70053" w:rsidRDefault="003F5355" w:rsidP="00B70053">
      <w:pPr>
        <w:numPr>
          <w:ilvl w:val="0"/>
          <w:numId w:val="9"/>
        </w:numPr>
        <w:tabs>
          <w:tab w:val="left" w:pos="851"/>
        </w:tabs>
        <w:spacing w:before="120" w:after="12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B30">
        <w:rPr>
          <w:rFonts w:ascii="Times New Roman" w:hAnsi="Times New Roman" w:cs="Times New Roman"/>
          <w:sz w:val="24"/>
          <w:szCs w:val="24"/>
        </w:rPr>
        <w:t>на надання державної підтримки особам з особливими освітніми потребами </w:t>
      </w:r>
      <w:r w:rsidRPr="007F7B30">
        <w:rPr>
          <w:rFonts w:ascii="Times New Roman" w:eastAsia="Calibri" w:hAnsi="Times New Roman" w:cs="Times New Roman"/>
          <w:sz w:val="24"/>
          <w:szCs w:val="24"/>
        </w:rPr>
        <w:t>– 504,</w:t>
      </w:r>
      <w:r w:rsidR="00431667">
        <w:rPr>
          <w:rFonts w:ascii="Times New Roman" w:eastAsia="Calibri" w:hAnsi="Times New Roman" w:cs="Times New Roman"/>
          <w:sz w:val="24"/>
          <w:szCs w:val="24"/>
        </w:rPr>
        <w:t>4</w:t>
      </w:r>
      <w:r w:rsidRPr="007F7B30">
        <w:rPr>
          <w:rFonts w:ascii="Times New Roman" w:eastAsia="Calibri" w:hAnsi="Times New Roman" w:cs="Times New Roman"/>
          <w:sz w:val="24"/>
          <w:szCs w:val="24"/>
        </w:rPr>
        <w:t> млн гривень</w:t>
      </w:r>
      <w:r w:rsidR="0001397E">
        <w:rPr>
          <w:rFonts w:ascii="Times New Roman" w:eastAsia="Calibri" w:hAnsi="Times New Roman" w:cs="Times New Roman"/>
          <w:sz w:val="24"/>
          <w:szCs w:val="24"/>
        </w:rPr>
        <w:t>.</w:t>
      </w:r>
      <w:r w:rsidR="00B700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7195" w:rsidRPr="00B70053" w:rsidRDefault="0001397E" w:rsidP="0001397E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267195" w:rsidRPr="00B70053">
        <w:rPr>
          <w:rFonts w:ascii="Times New Roman" w:eastAsia="Calibri" w:hAnsi="Times New Roman" w:cs="Times New Roman"/>
          <w:sz w:val="24"/>
          <w:szCs w:val="24"/>
        </w:rPr>
        <w:t>перше передбачено субвенцію на</w:t>
      </w:r>
      <w:r w:rsidR="00B70053" w:rsidRPr="00B70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7195" w:rsidRPr="00B70053">
        <w:rPr>
          <w:rFonts w:ascii="Times New Roman" w:eastAsia="Calibri" w:hAnsi="Times New Roman" w:cs="Times New Roman"/>
          <w:sz w:val="24"/>
          <w:szCs w:val="24"/>
        </w:rPr>
        <w:t>заходи, спрямовані на боротьбу з гострою р</w:t>
      </w:r>
      <w:r w:rsidR="00B70053">
        <w:rPr>
          <w:rFonts w:ascii="Times New Roman" w:eastAsia="Calibri" w:hAnsi="Times New Roman" w:cs="Times New Roman"/>
          <w:sz w:val="24"/>
          <w:szCs w:val="24"/>
        </w:rPr>
        <w:t>е</w:t>
      </w:r>
      <w:r w:rsidR="00267195" w:rsidRPr="00B70053">
        <w:rPr>
          <w:rFonts w:ascii="Times New Roman" w:eastAsia="Calibri" w:hAnsi="Times New Roman" w:cs="Times New Roman"/>
          <w:sz w:val="24"/>
          <w:szCs w:val="24"/>
        </w:rPr>
        <w:t xml:space="preserve">спіраторною хворобою </w:t>
      </w:r>
      <w:r w:rsidR="00267195" w:rsidRPr="00B70053">
        <w:rPr>
          <w:rFonts w:ascii="Times New Roman" w:eastAsia="Calibri" w:hAnsi="Times New Roman" w:cs="Times New Roman"/>
          <w:sz w:val="24"/>
          <w:szCs w:val="24"/>
          <w:lang w:val="en-US"/>
        </w:rPr>
        <w:t>COVID</w:t>
      </w:r>
      <w:r w:rsidR="00267195" w:rsidRPr="00B70053">
        <w:rPr>
          <w:rFonts w:ascii="Times New Roman" w:eastAsia="Calibri" w:hAnsi="Times New Roman" w:cs="Times New Roman"/>
          <w:sz w:val="24"/>
          <w:szCs w:val="24"/>
        </w:rPr>
        <w:t>-19, спричиненою</w:t>
      </w:r>
      <w:r w:rsidR="00BD53E8" w:rsidRPr="00B70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D53E8" w:rsidRPr="00B70053">
        <w:rPr>
          <w:rFonts w:ascii="Times New Roman" w:eastAsia="Calibri" w:hAnsi="Times New Roman" w:cs="Times New Roman"/>
          <w:sz w:val="24"/>
          <w:szCs w:val="24"/>
        </w:rPr>
        <w:t>коронавірусом</w:t>
      </w:r>
      <w:proofErr w:type="spellEnd"/>
      <w:r w:rsidR="00BD53E8" w:rsidRPr="00B70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53E8" w:rsidRPr="00B70053">
        <w:rPr>
          <w:rFonts w:ascii="Times New Roman" w:eastAsia="Calibri" w:hAnsi="Times New Roman" w:cs="Times New Roman"/>
          <w:sz w:val="24"/>
          <w:szCs w:val="24"/>
          <w:lang w:val="en-US"/>
        </w:rPr>
        <w:t>SARS-CoV-2</w:t>
      </w:r>
      <w:r w:rsidR="00BD53E8" w:rsidRPr="00B70053">
        <w:rPr>
          <w:rFonts w:ascii="Times New Roman" w:eastAsia="Calibri" w:hAnsi="Times New Roman" w:cs="Times New Roman"/>
          <w:sz w:val="24"/>
          <w:szCs w:val="24"/>
        </w:rPr>
        <w:t>, та її наслідками під час навчального процесу у закладах загальної середньої освіти – 1 000,0 млн грн;</w:t>
      </w:r>
    </w:p>
    <w:p w:rsidR="003F5355" w:rsidRPr="00B70053" w:rsidRDefault="003F5355" w:rsidP="003F5355">
      <w:pPr>
        <w:pStyle w:val="a3"/>
        <w:numPr>
          <w:ilvl w:val="0"/>
          <w:numId w:val="10"/>
        </w:numPr>
        <w:tabs>
          <w:tab w:val="left" w:pos="851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0053">
        <w:rPr>
          <w:rFonts w:ascii="Times New Roman" w:hAnsi="Times New Roman" w:cs="Times New Roman"/>
          <w:sz w:val="24"/>
          <w:szCs w:val="24"/>
        </w:rPr>
        <w:t xml:space="preserve">на охорону здоров’я – </w:t>
      </w:r>
      <w:r w:rsidR="008E19F5" w:rsidRPr="00B700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70053">
        <w:rPr>
          <w:rFonts w:ascii="Times New Roman" w:hAnsi="Times New Roman" w:cs="Times New Roman"/>
          <w:sz w:val="24"/>
          <w:szCs w:val="24"/>
        </w:rPr>
        <w:t> </w:t>
      </w:r>
      <w:r w:rsidR="008E19F5" w:rsidRPr="00B70053">
        <w:rPr>
          <w:rFonts w:ascii="Times New Roman" w:hAnsi="Times New Roman" w:cs="Times New Roman"/>
          <w:sz w:val="24"/>
          <w:szCs w:val="24"/>
          <w:lang w:val="en-US"/>
        </w:rPr>
        <w:t>942</w:t>
      </w:r>
      <w:r w:rsidRPr="00B70053">
        <w:rPr>
          <w:rFonts w:ascii="Times New Roman" w:hAnsi="Times New Roman" w:cs="Times New Roman"/>
          <w:sz w:val="24"/>
          <w:szCs w:val="24"/>
        </w:rPr>
        <w:t>,</w:t>
      </w:r>
      <w:r w:rsidR="008E19F5" w:rsidRPr="00B7005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B70053">
        <w:rPr>
          <w:rFonts w:ascii="Times New Roman" w:hAnsi="Times New Roman" w:cs="Times New Roman"/>
          <w:sz w:val="24"/>
          <w:szCs w:val="24"/>
        </w:rPr>
        <w:t xml:space="preserve"> млн грн, у тому числі:</w:t>
      </w:r>
    </w:p>
    <w:p w:rsidR="003F5355" w:rsidRPr="00B70053" w:rsidRDefault="003F5355" w:rsidP="00B70053">
      <w:pPr>
        <w:numPr>
          <w:ilvl w:val="0"/>
          <w:numId w:val="12"/>
        </w:numPr>
        <w:tabs>
          <w:tab w:val="left" w:pos="851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053">
        <w:rPr>
          <w:rFonts w:ascii="Times New Roman" w:hAnsi="Times New Roman" w:cs="Times New Roman"/>
          <w:sz w:val="24"/>
          <w:szCs w:val="24"/>
        </w:rPr>
        <w:t xml:space="preserve">на </w:t>
      </w:r>
      <w:r w:rsidR="00B70053" w:rsidRPr="00B70053">
        <w:rPr>
          <w:rFonts w:ascii="Times New Roman" w:hAnsi="Times New Roman" w:cs="Times New Roman"/>
          <w:sz w:val="24"/>
          <w:szCs w:val="24"/>
        </w:rPr>
        <w:t>здійснення підтримки окремих закладів та заходів у системі охорони здоров’я</w:t>
      </w:r>
      <w:r w:rsidR="00FC6C07">
        <w:rPr>
          <w:rFonts w:ascii="Times New Roman" w:hAnsi="Times New Roman" w:cs="Times New Roman"/>
          <w:sz w:val="24"/>
          <w:szCs w:val="24"/>
        </w:rPr>
        <w:t> </w:t>
      </w:r>
      <w:r w:rsidRPr="00B70053">
        <w:rPr>
          <w:rFonts w:ascii="Times New Roman" w:hAnsi="Times New Roman" w:cs="Times New Roman"/>
          <w:sz w:val="24"/>
          <w:szCs w:val="24"/>
        </w:rPr>
        <w:t>– </w:t>
      </w:r>
      <w:r w:rsidR="008E19F5" w:rsidRPr="00B70053">
        <w:rPr>
          <w:rFonts w:ascii="Times New Roman" w:hAnsi="Times New Roman" w:cs="Times New Roman"/>
          <w:sz w:val="24"/>
          <w:szCs w:val="24"/>
        </w:rPr>
        <w:t>2 942,9</w:t>
      </w:r>
      <w:r w:rsidRPr="00B70053">
        <w:rPr>
          <w:rFonts w:ascii="Times New Roman" w:hAnsi="Times New Roman" w:cs="Times New Roman"/>
          <w:sz w:val="24"/>
          <w:szCs w:val="24"/>
        </w:rPr>
        <w:t xml:space="preserve"> млн грн; </w:t>
      </w:r>
    </w:p>
    <w:p w:rsidR="003F5355" w:rsidRPr="00BD53E8" w:rsidRDefault="003F5355" w:rsidP="003F5355">
      <w:pPr>
        <w:numPr>
          <w:ilvl w:val="0"/>
          <w:numId w:val="13"/>
        </w:numPr>
        <w:tabs>
          <w:tab w:val="left" w:pos="568"/>
          <w:tab w:val="left" w:pos="851"/>
        </w:tabs>
        <w:spacing w:before="120" w:after="12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3E8">
        <w:rPr>
          <w:rFonts w:ascii="Times New Roman" w:hAnsi="Times New Roman" w:cs="Times New Roman"/>
          <w:sz w:val="24"/>
          <w:szCs w:val="24"/>
        </w:rPr>
        <w:t>інші субвенції з державного бюджету</w:t>
      </w:r>
      <w:r w:rsidR="00A71621">
        <w:rPr>
          <w:rFonts w:ascii="Times New Roman" w:hAnsi="Times New Roman" w:cs="Times New Roman"/>
          <w:sz w:val="24"/>
          <w:szCs w:val="24"/>
        </w:rPr>
        <w:t> </w:t>
      </w:r>
      <w:r w:rsidRPr="00B70053">
        <w:rPr>
          <w:rFonts w:ascii="Times New Roman" w:hAnsi="Times New Roman" w:cs="Times New Roman"/>
          <w:sz w:val="24"/>
          <w:szCs w:val="24"/>
        </w:rPr>
        <w:t>–</w:t>
      </w:r>
      <w:r w:rsidR="00A71621">
        <w:rPr>
          <w:rFonts w:ascii="Times New Roman" w:hAnsi="Times New Roman" w:cs="Times New Roman"/>
          <w:sz w:val="24"/>
          <w:szCs w:val="24"/>
        </w:rPr>
        <w:t> </w:t>
      </w:r>
      <w:r w:rsidR="00B70053" w:rsidRPr="00B70053">
        <w:rPr>
          <w:rFonts w:ascii="Times New Roman" w:hAnsi="Times New Roman" w:cs="Times New Roman"/>
          <w:sz w:val="24"/>
          <w:szCs w:val="24"/>
        </w:rPr>
        <w:t>3</w:t>
      </w:r>
      <w:r w:rsidRPr="00B70053">
        <w:rPr>
          <w:rFonts w:ascii="Times New Roman" w:hAnsi="Times New Roman" w:cs="Times New Roman"/>
          <w:sz w:val="24"/>
          <w:szCs w:val="24"/>
        </w:rPr>
        <w:t> </w:t>
      </w:r>
      <w:r w:rsidR="00B70053" w:rsidRPr="00B70053">
        <w:rPr>
          <w:rFonts w:ascii="Times New Roman" w:hAnsi="Times New Roman" w:cs="Times New Roman"/>
          <w:sz w:val="24"/>
          <w:szCs w:val="24"/>
        </w:rPr>
        <w:t>486</w:t>
      </w:r>
      <w:r w:rsidRPr="00B70053">
        <w:rPr>
          <w:rFonts w:ascii="Times New Roman" w:hAnsi="Times New Roman" w:cs="Times New Roman"/>
          <w:sz w:val="24"/>
          <w:szCs w:val="24"/>
        </w:rPr>
        <w:t>,</w:t>
      </w:r>
      <w:r w:rsidR="00B70053" w:rsidRPr="00B70053">
        <w:rPr>
          <w:rFonts w:ascii="Times New Roman" w:hAnsi="Times New Roman" w:cs="Times New Roman"/>
          <w:sz w:val="24"/>
          <w:szCs w:val="24"/>
        </w:rPr>
        <w:t>7</w:t>
      </w:r>
      <w:r w:rsidRPr="00BD53E8">
        <w:rPr>
          <w:rFonts w:ascii="Times New Roman" w:hAnsi="Times New Roman" w:cs="Times New Roman"/>
          <w:sz w:val="24"/>
          <w:szCs w:val="24"/>
        </w:rPr>
        <w:t> млн грн, у тому числі на:</w:t>
      </w:r>
    </w:p>
    <w:p w:rsidR="00A71621" w:rsidRDefault="003F5355" w:rsidP="003F5355">
      <w:pPr>
        <w:numPr>
          <w:ilvl w:val="0"/>
          <w:numId w:val="14"/>
        </w:numPr>
        <w:tabs>
          <w:tab w:val="left" w:pos="709"/>
          <w:tab w:val="left" w:pos="851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053">
        <w:rPr>
          <w:rFonts w:ascii="Times New Roman" w:hAnsi="Times New Roman" w:cs="Times New Roman"/>
          <w:sz w:val="24"/>
          <w:szCs w:val="24"/>
        </w:rPr>
        <w:t xml:space="preserve"> </w:t>
      </w:r>
      <w:r w:rsidR="00A71621">
        <w:rPr>
          <w:rFonts w:ascii="Times New Roman" w:hAnsi="Times New Roman" w:cs="Times New Roman"/>
          <w:sz w:val="24"/>
          <w:szCs w:val="24"/>
        </w:rPr>
        <w:t>здійснення заходів щодо підтримки територій, що зазнали негативного впливу внаслідок збройного конфлікту на сході України </w:t>
      </w:r>
      <w:r w:rsidR="00A71621" w:rsidRPr="00B70053">
        <w:rPr>
          <w:rFonts w:ascii="Times New Roman" w:hAnsi="Times New Roman" w:cs="Times New Roman"/>
          <w:sz w:val="24"/>
          <w:szCs w:val="24"/>
        </w:rPr>
        <w:t>–</w:t>
      </w:r>
      <w:r w:rsidR="00A71621">
        <w:rPr>
          <w:rFonts w:ascii="Times New Roman" w:hAnsi="Times New Roman" w:cs="Times New Roman"/>
          <w:sz w:val="24"/>
          <w:szCs w:val="24"/>
        </w:rPr>
        <w:t> 125</w:t>
      </w:r>
      <w:r w:rsidR="00A71621" w:rsidRPr="00B70053">
        <w:rPr>
          <w:rFonts w:ascii="Times New Roman" w:hAnsi="Times New Roman" w:cs="Times New Roman"/>
          <w:sz w:val="24"/>
          <w:szCs w:val="24"/>
        </w:rPr>
        <w:t>,</w:t>
      </w:r>
      <w:r w:rsidR="00A71621">
        <w:rPr>
          <w:rFonts w:ascii="Times New Roman" w:hAnsi="Times New Roman" w:cs="Times New Roman"/>
          <w:sz w:val="24"/>
          <w:szCs w:val="24"/>
        </w:rPr>
        <w:t>0</w:t>
      </w:r>
      <w:r w:rsidR="00A71621" w:rsidRPr="00BD53E8">
        <w:rPr>
          <w:rFonts w:ascii="Times New Roman" w:hAnsi="Times New Roman" w:cs="Times New Roman"/>
          <w:sz w:val="24"/>
          <w:szCs w:val="24"/>
        </w:rPr>
        <w:t> млн грн</w:t>
      </w:r>
      <w:r w:rsidR="00A71621">
        <w:rPr>
          <w:rFonts w:ascii="Times New Roman" w:hAnsi="Times New Roman" w:cs="Times New Roman"/>
          <w:sz w:val="24"/>
          <w:szCs w:val="24"/>
        </w:rPr>
        <w:t>;</w:t>
      </w:r>
    </w:p>
    <w:p w:rsidR="007838FB" w:rsidRDefault="003F5355" w:rsidP="003F5355">
      <w:pPr>
        <w:numPr>
          <w:ilvl w:val="0"/>
          <w:numId w:val="14"/>
        </w:numPr>
        <w:tabs>
          <w:tab w:val="left" w:pos="709"/>
          <w:tab w:val="left" w:pos="851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053">
        <w:rPr>
          <w:rFonts w:ascii="Times New Roman" w:hAnsi="Times New Roman" w:cs="Times New Roman"/>
          <w:sz w:val="24"/>
          <w:szCs w:val="24"/>
        </w:rPr>
        <w:t>виплату грошової компенсації за належні для отримання жилі приміщення для</w:t>
      </w:r>
      <w:r w:rsidR="007838FB">
        <w:rPr>
          <w:rFonts w:ascii="Times New Roman" w:hAnsi="Times New Roman" w:cs="Times New Roman"/>
          <w:sz w:val="24"/>
          <w:szCs w:val="24"/>
        </w:rPr>
        <w:t>:</w:t>
      </w:r>
    </w:p>
    <w:p w:rsidR="003F5355" w:rsidRDefault="003F5355" w:rsidP="007838FB">
      <w:pPr>
        <w:tabs>
          <w:tab w:val="left" w:pos="709"/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053">
        <w:rPr>
          <w:rFonts w:ascii="Times New Roman" w:hAnsi="Times New Roman" w:cs="Times New Roman"/>
          <w:sz w:val="24"/>
          <w:szCs w:val="24"/>
        </w:rPr>
        <w:t xml:space="preserve">сімей осіб, визначених абзацами 5 – 8 пункту 1 статті 10 Закону України "Про статус ветеранів війни, гарантії їх соціального захисту", для осіб з інвалідністю І–ІІ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визначених пунктами 11 – 14 частини другої статті 7 Закону України "Про статус ветеранів війни, гарантії їх соціального </w:t>
      </w:r>
      <w:r w:rsidRPr="00A71621">
        <w:rPr>
          <w:rFonts w:ascii="Times New Roman" w:hAnsi="Times New Roman" w:cs="Times New Roman"/>
          <w:sz w:val="24"/>
          <w:szCs w:val="24"/>
        </w:rPr>
        <w:t>захисту", та які потребують поліпшення житлових умов, – 305</w:t>
      </w:r>
      <w:r w:rsidRPr="00A71621">
        <w:rPr>
          <w:rFonts w:ascii="Times New Roman" w:hAnsi="Times New Roman" w:cs="Times New Roman"/>
          <w:bCs/>
          <w:sz w:val="24"/>
          <w:szCs w:val="24"/>
          <w:lang w:eastAsia="uk-UA"/>
        </w:rPr>
        <w:t>,1 </w:t>
      </w:r>
      <w:r w:rsidRPr="00A71621">
        <w:rPr>
          <w:rFonts w:ascii="Times New Roman" w:hAnsi="Times New Roman" w:cs="Times New Roman"/>
          <w:sz w:val="24"/>
          <w:szCs w:val="24"/>
        </w:rPr>
        <w:t>млн грн;</w:t>
      </w:r>
    </w:p>
    <w:p w:rsidR="00A71621" w:rsidRPr="00A71621" w:rsidRDefault="00A71621" w:rsidP="007838FB">
      <w:pPr>
        <w:tabs>
          <w:tab w:val="left" w:pos="709"/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621">
        <w:rPr>
          <w:rFonts w:ascii="Times New Roman" w:hAnsi="Times New Roman" w:cs="Times New Roman"/>
          <w:sz w:val="24"/>
          <w:szCs w:val="24"/>
        </w:rPr>
        <w:lastRenderedPageBreak/>
        <w:t>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ІІІ групи відповідно до пунктів 11-14 частини другої статті 7 або учасниками бойових дій відповідно до пунктів 19-20 частини першої статті 6 Закону України «Про статус ветеранів війни, гарантії їх соціального захисту», та які потребують поліпшення житлових умов</w:t>
      </w:r>
      <w:r>
        <w:rPr>
          <w:rFonts w:ascii="Times New Roman" w:hAnsi="Times New Roman" w:cs="Times New Roman"/>
          <w:sz w:val="24"/>
          <w:szCs w:val="24"/>
        </w:rPr>
        <w:t> – 248,</w:t>
      </w:r>
      <w:r w:rsidR="0043166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млн грн;</w:t>
      </w:r>
    </w:p>
    <w:p w:rsidR="00A71621" w:rsidRPr="00A71621" w:rsidRDefault="00A71621" w:rsidP="007838FB">
      <w:pPr>
        <w:tabs>
          <w:tab w:val="left" w:pos="709"/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621">
        <w:rPr>
          <w:rFonts w:ascii="Times New Roman" w:hAnsi="Times New Roman" w:cs="Times New Roman"/>
          <w:sz w:val="24"/>
          <w:szCs w:val="24"/>
        </w:rPr>
        <w:t xml:space="preserve">сімей учасників бойових дій на території інших держав, визначених у абзаці першому пункту 1 статті 10 Закону України «Про статус ветеранів війни, гарантії їх соціального захисту», для осіб з інвалідністю I-II групи з числа учасників бойових дій на території інших держав, інвалідність яких настала внаслідок поранення, контузії, каліцтва або захворювання, пов’язаних з перебуванням у цих державах, визначених пунктом 7 частини другої статті 7 Закону України «Про статус ветеранів війни, гарантії їх соціального захисту», та які потребують поліпшення житлових умов, – 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71621">
        <w:rPr>
          <w:rFonts w:ascii="Times New Roman" w:hAnsi="Times New Roman" w:cs="Times New Roman"/>
          <w:sz w:val="24"/>
          <w:szCs w:val="24"/>
        </w:rPr>
        <w:t>0,0 млн грн;</w:t>
      </w:r>
    </w:p>
    <w:p w:rsidR="00A71621" w:rsidRPr="00B70053" w:rsidRDefault="00A71621" w:rsidP="007838FB">
      <w:pPr>
        <w:tabs>
          <w:tab w:val="left" w:pos="709"/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621">
        <w:rPr>
          <w:rFonts w:ascii="Times New Roman" w:hAnsi="Times New Roman" w:cs="Times New Roman"/>
          <w:sz w:val="24"/>
          <w:szCs w:val="24"/>
        </w:rPr>
        <w:t>сімей осіб, визначених у абзаці чотирнадцятому пункту 1 статті 10 Закону України «Про статус ветеранів війни, гарантії їх соціального захисту», для осіб з інвалідністю I-II групи, які стали особами з інвалідністю внаслідок поранень, каліцтва, контузії чи інших ушкоджень здоров'я, одержаних під час участі у Революції Гідності, визначених пунктом 10 частини другої статті 7 Закону України «Про статус ветеранів війни, гарантії їх соціального захисту», та які потребують поліпшення житлових умов</w:t>
      </w:r>
      <w:r>
        <w:rPr>
          <w:rFonts w:ascii="Times New Roman" w:hAnsi="Times New Roman" w:cs="Times New Roman"/>
          <w:sz w:val="24"/>
          <w:szCs w:val="24"/>
        </w:rPr>
        <w:t> – 12,3 млн грн;</w:t>
      </w:r>
    </w:p>
    <w:p w:rsidR="003F5355" w:rsidRPr="00C31698" w:rsidRDefault="003F5355" w:rsidP="003F5355">
      <w:pPr>
        <w:numPr>
          <w:ilvl w:val="0"/>
          <w:numId w:val="14"/>
        </w:numPr>
        <w:tabs>
          <w:tab w:val="left" w:pos="709"/>
          <w:tab w:val="left" w:pos="851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698">
        <w:rPr>
          <w:rFonts w:ascii="Times New Roman" w:hAnsi="Times New Roman" w:cs="Times New Roman"/>
          <w:sz w:val="24"/>
          <w:szCs w:val="24"/>
        </w:rPr>
        <w:t>про</w:t>
      </w:r>
      <w:r w:rsidR="00D91605">
        <w:rPr>
          <w:rFonts w:ascii="Times New Roman" w:hAnsi="Times New Roman" w:cs="Times New Roman"/>
          <w:sz w:val="24"/>
          <w:szCs w:val="24"/>
        </w:rPr>
        <w:t>е</w:t>
      </w:r>
      <w:r w:rsidRPr="00C31698">
        <w:rPr>
          <w:rFonts w:ascii="Times New Roman" w:hAnsi="Times New Roman" w:cs="Times New Roman"/>
          <w:sz w:val="24"/>
          <w:szCs w:val="24"/>
        </w:rPr>
        <w:t xml:space="preserve">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 – </w:t>
      </w:r>
      <w:r w:rsidR="00C31698">
        <w:rPr>
          <w:rFonts w:ascii="Times New Roman" w:hAnsi="Times New Roman" w:cs="Times New Roman"/>
          <w:sz w:val="24"/>
          <w:szCs w:val="24"/>
        </w:rPr>
        <w:t>795</w:t>
      </w:r>
      <w:r w:rsidRPr="00C31698">
        <w:rPr>
          <w:rFonts w:ascii="Times New Roman" w:hAnsi="Times New Roman" w:cs="Times New Roman"/>
          <w:sz w:val="24"/>
          <w:szCs w:val="24"/>
        </w:rPr>
        <w:t>,</w:t>
      </w:r>
      <w:r w:rsidR="00C31698">
        <w:rPr>
          <w:rFonts w:ascii="Times New Roman" w:hAnsi="Times New Roman" w:cs="Times New Roman"/>
          <w:sz w:val="24"/>
          <w:szCs w:val="24"/>
        </w:rPr>
        <w:t>4</w:t>
      </w:r>
      <w:r w:rsidRPr="00C31698">
        <w:rPr>
          <w:rFonts w:ascii="Times New Roman" w:hAnsi="Times New Roman" w:cs="Times New Roman"/>
          <w:sz w:val="24"/>
          <w:szCs w:val="24"/>
        </w:rPr>
        <w:t> млн гривень.</w:t>
      </w:r>
    </w:p>
    <w:p w:rsidR="00C23395" w:rsidRPr="00D91605" w:rsidRDefault="003F5355" w:rsidP="00C23395">
      <w:pPr>
        <w:tabs>
          <w:tab w:val="left" w:pos="709"/>
          <w:tab w:val="left" w:pos="851"/>
        </w:tabs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698">
        <w:rPr>
          <w:rFonts w:ascii="Times New Roman" w:eastAsia="Calibri" w:hAnsi="Times New Roman" w:cs="Times New Roman"/>
          <w:sz w:val="24"/>
          <w:szCs w:val="24"/>
        </w:rPr>
        <w:t>Розподіл коштів субвенції між місцевими бюджетами здійснено Міністерством соціальної політики з урахуванням кількості дітей-сиріт, які перебувають на квартирному обліку, прогнозної кількості малих групових будинків, які планується створити у 202</w:t>
      </w:r>
      <w:r w:rsidR="00C31698">
        <w:rPr>
          <w:rFonts w:ascii="Times New Roman" w:eastAsia="Calibri" w:hAnsi="Times New Roman" w:cs="Times New Roman"/>
          <w:sz w:val="24"/>
          <w:szCs w:val="24"/>
        </w:rPr>
        <w:t>1</w:t>
      </w:r>
      <w:r w:rsidRPr="00C31698">
        <w:rPr>
          <w:rFonts w:ascii="Times New Roman" w:eastAsia="Calibri" w:hAnsi="Times New Roman" w:cs="Times New Roman"/>
          <w:sz w:val="24"/>
          <w:szCs w:val="24"/>
        </w:rPr>
        <w:t xml:space="preserve"> році, та </w:t>
      </w:r>
      <w:r w:rsidRPr="00D91605">
        <w:rPr>
          <w:rFonts w:ascii="Times New Roman" w:eastAsia="Calibri" w:hAnsi="Times New Roman" w:cs="Times New Roman"/>
          <w:sz w:val="24"/>
          <w:szCs w:val="24"/>
        </w:rPr>
        <w:t>дитячих будинків сімейного типу, які потребують забезпеченням житлом та жилими приміщеннями</w:t>
      </w:r>
      <w:r w:rsidRPr="00D91605">
        <w:rPr>
          <w:rFonts w:ascii="Times New Roman" w:hAnsi="Times New Roman" w:cs="Times New Roman"/>
          <w:sz w:val="24"/>
          <w:szCs w:val="24"/>
        </w:rPr>
        <w:t>;</w:t>
      </w:r>
      <w:r w:rsidR="00C23395" w:rsidRPr="00D916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605" w:rsidRPr="00D91605" w:rsidRDefault="00D91605" w:rsidP="00D91605">
      <w:pPr>
        <w:numPr>
          <w:ilvl w:val="0"/>
          <w:numId w:val="14"/>
        </w:numPr>
        <w:tabs>
          <w:tab w:val="left" w:pos="709"/>
          <w:tab w:val="left" w:pos="851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605">
        <w:rPr>
          <w:rFonts w:ascii="Times New Roman" w:hAnsi="Times New Roman" w:cs="Times New Roman"/>
          <w:sz w:val="24"/>
          <w:szCs w:val="24"/>
        </w:rPr>
        <w:t xml:space="preserve">фінансування заходів соціально-економічної компенсації ризику населення, яке проживає на території зони спостереження, – </w:t>
      </w:r>
      <w:r w:rsidRPr="00D91605">
        <w:rPr>
          <w:rFonts w:ascii="Times New Roman" w:hAnsi="Times New Roman" w:cs="Times New Roman"/>
          <w:bCs/>
          <w:sz w:val="24"/>
          <w:szCs w:val="24"/>
          <w:lang w:eastAsia="uk-UA"/>
        </w:rPr>
        <w:t>137,5 </w:t>
      </w:r>
      <w:r w:rsidRPr="00D91605">
        <w:rPr>
          <w:rFonts w:ascii="Times New Roman" w:hAnsi="Times New Roman" w:cs="Times New Roman"/>
          <w:sz w:val="24"/>
          <w:szCs w:val="24"/>
        </w:rPr>
        <w:t>млн грн;</w:t>
      </w:r>
    </w:p>
    <w:p w:rsidR="00D91605" w:rsidRPr="008E26AF" w:rsidRDefault="00D91605" w:rsidP="00D91605">
      <w:pPr>
        <w:numPr>
          <w:ilvl w:val="0"/>
          <w:numId w:val="14"/>
        </w:numPr>
        <w:tabs>
          <w:tab w:val="left" w:pos="709"/>
          <w:tab w:val="left" w:pos="851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605">
        <w:rPr>
          <w:rFonts w:ascii="Times New Roman" w:hAnsi="Times New Roman" w:cs="Times New Roman"/>
          <w:sz w:val="24"/>
          <w:szCs w:val="24"/>
        </w:rPr>
        <w:t xml:space="preserve">реалізацію проектів у рамках Надзвичайної кредитної програми для відновлення </w:t>
      </w:r>
      <w:r w:rsidRPr="008E26AF">
        <w:rPr>
          <w:rFonts w:ascii="Times New Roman" w:hAnsi="Times New Roman" w:cs="Times New Roman"/>
          <w:sz w:val="24"/>
          <w:szCs w:val="24"/>
        </w:rPr>
        <w:t>України – 450,0 млн грн;</w:t>
      </w:r>
    </w:p>
    <w:p w:rsidR="003F5355" w:rsidRPr="007611FB" w:rsidRDefault="003F5355" w:rsidP="003F5355">
      <w:pPr>
        <w:numPr>
          <w:ilvl w:val="0"/>
          <w:numId w:val="14"/>
        </w:numPr>
        <w:tabs>
          <w:tab w:val="left" w:pos="709"/>
          <w:tab w:val="left" w:pos="851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 xml:space="preserve">виконання заходів щодо радіаційного та соціального захисту населення міста Жовтих Вод </w:t>
      </w:r>
      <w:r w:rsidRPr="00C31698">
        <w:rPr>
          <w:rFonts w:ascii="Times New Roman" w:hAnsi="Times New Roman" w:cs="Times New Roman"/>
          <w:sz w:val="24"/>
          <w:szCs w:val="24"/>
        </w:rPr>
        <w:t xml:space="preserve">– </w:t>
      </w:r>
      <w:r w:rsidR="008E26AF">
        <w:rPr>
          <w:rFonts w:ascii="Times New Roman" w:hAnsi="Times New Roman" w:cs="Times New Roman"/>
          <w:sz w:val="24"/>
          <w:szCs w:val="24"/>
        </w:rPr>
        <w:t>8</w:t>
      </w:r>
      <w:r w:rsidRPr="00C31698">
        <w:rPr>
          <w:rFonts w:ascii="Times New Roman" w:hAnsi="Times New Roman" w:cs="Times New Roman"/>
          <w:sz w:val="24"/>
          <w:szCs w:val="24"/>
        </w:rPr>
        <w:t>,</w:t>
      </w:r>
      <w:r w:rsidR="008E26AF">
        <w:rPr>
          <w:rFonts w:ascii="Times New Roman" w:hAnsi="Times New Roman" w:cs="Times New Roman"/>
          <w:sz w:val="24"/>
          <w:szCs w:val="24"/>
        </w:rPr>
        <w:t>5</w:t>
      </w:r>
      <w:r w:rsidRPr="00C31698">
        <w:rPr>
          <w:rFonts w:ascii="Times New Roman" w:hAnsi="Times New Roman" w:cs="Times New Roman"/>
          <w:sz w:val="24"/>
          <w:szCs w:val="24"/>
        </w:rPr>
        <w:t> млн</w:t>
      </w:r>
      <w:r w:rsidRPr="007611FB">
        <w:rPr>
          <w:rFonts w:ascii="Times New Roman" w:hAnsi="Times New Roman" w:cs="Times New Roman"/>
          <w:sz w:val="24"/>
          <w:szCs w:val="24"/>
        </w:rPr>
        <w:t> грн;</w:t>
      </w:r>
    </w:p>
    <w:p w:rsidR="003F5355" w:rsidRPr="008E26AF" w:rsidRDefault="003F5355" w:rsidP="003F5355">
      <w:pPr>
        <w:numPr>
          <w:ilvl w:val="0"/>
          <w:numId w:val="14"/>
        </w:numPr>
        <w:tabs>
          <w:tab w:val="left" w:pos="709"/>
          <w:tab w:val="left" w:pos="851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6AF">
        <w:rPr>
          <w:rFonts w:ascii="Times New Roman" w:hAnsi="Times New Roman" w:cs="Times New Roman"/>
          <w:sz w:val="24"/>
          <w:szCs w:val="24"/>
        </w:rPr>
        <w:t>завершення будівництва метрополітену у м. Дніпрі – 252,0 млн грн;</w:t>
      </w:r>
    </w:p>
    <w:p w:rsidR="00C23395" w:rsidRDefault="003F5355" w:rsidP="00C23395">
      <w:pPr>
        <w:numPr>
          <w:ilvl w:val="0"/>
          <w:numId w:val="14"/>
        </w:numPr>
        <w:tabs>
          <w:tab w:val="left" w:pos="709"/>
          <w:tab w:val="left" w:pos="851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>проведення виборів депутатів місцевих рад та сільських, селищних, міських голів –5</w:t>
      </w:r>
      <w:r w:rsidR="00BD53E8">
        <w:rPr>
          <w:rFonts w:ascii="Times New Roman" w:hAnsi="Times New Roman" w:cs="Times New Roman"/>
          <w:sz w:val="24"/>
          <w:szCs w:val="24"/>
        </w:rPr>
        <w:t>0</w:t>
      </w:r>
      <w:r w:rsidR="00C23395">
        <w:rPr>
          <w:rFonts w:ascii="Times New Roman" w:hAnsi="Times New Roman" w:cs="Times New Roman"/>
          <w:sz w:val="24"/>
          <w:szCs w:val="24"/>
        </w:rPr>
        <w:t>,0 млн гривень.</w:t>
      </w:r>
    </w:p>
    <w:p w:rsidR="007838FB" w:rsidRDefault="007838FB" w:rsidP="007838FB">
      <w:pPr>
        <w:tabs>
          <w:tab w:val="left" w:pos="709"/>
          <w:tab w:val="left" w:pos="851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Крім того, передбачено нові субвенції на:</w:t>
      </w:r>
    </w:p>
    <w:p w:rsidR="007838FB" w:rsidRDefault="007838FB" w:rsidP="007838FB">
      <w:pPr>
        <w:numPr>
          <w:ilvl w:val="0"/>
          <w:numId w:val="14"/>
        </w:numPr>
        <w:tabs>
          <w:tab w:val="left" w:pos="709"/>
          <w:tab w:val="left" w:pos="851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6AF">
        <w:rPr>
          <w:rFonts w:ascii="Times New Roman" w:hAnsi="Times New Roman" w:cs="Times New Roman"/>
          <w:sz w:val="24"/>
          <w:szCs w:val="24"/>
        </w:rPr>
        <w:t>розроблення комплексних планів просторового розвитку територій територіальних громад – 62,6 млн грн;</w:t>
      </w:r>
    </w:p>
    <w:p w:rsidR="007838FB" w:rsidRPr="008E26AF" w:rsidRDefault="007838FB" w:rsidP="007838FB">
      <w:pPr>
        <w:numPr>
          <w:ilvl w:val="0"/>
          <w:numId w:val="14"/>
        </w:numPr>
        <w:tabs>
          <w:tab w:val="left" w:pos="709"/>
          <w:tab w:val="left" w:pos="851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</w:t>
      </w:r>
      <w:r w:rsidRPr="008E26AF">
        <w:rPr>
          <w:rFonts w:ascii="Times New Roman" w:hAnsi="Times New Roman" w:cs="Times New Roman"/>
          <w:sz w:val="24"/>
          <w:szCs w:val="24"/>
        </w:rPr>
        <w:t>виток мережі центрів надання адміністративних послуг – 489,8 млн грн;</w:t>
      </w:r>
    </w:p>
    <w:p w:rsidR="007838FB" w:rsidRPr="000630DC" w:rsidRDefault="007838FB" w:rsidP="000630DC">
      <w:pPr>
        <w:numPr>
          <w:ilvl w:val="0"/>
          <w:numId w:val="14"/>
        </w:numPr>
        <w:tabs>
          <w:tab w:val="left" w:pos="709"/>
          <w:tab w:val="left" w:pos="851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6AF">
        <w:rPr>
          <w:rFonts w:ascii="Times New Roman" w:hAnsi="Times New Roman" w:cs="Times New Roman"/>
          <w:sz w:val="24"/>
          <w:szCs w:val="24"/>
        </w:rPr>
        <w:t>розвиток спортивної інфраструктури – 500,0 млн грн;</w:t>
      </w:r>
    </w:p>
    <w:p w:rsidR="003F5355" w:rsidRPr="007611FB" w:rsidRDefault="003F5355" w:rsidP="003F5355">
      <w:pPr>
        <w:tabs>
          <w:tab w:val="left" w:pos="0"/>
          <w:tab w:val="left" w:pos="709"/>
          <w:tab w:val="left" w:pos="851"/>
        </w:tabs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11FB">
        <w:rPr>
          <w:rFonts w:ascii="Times New Roman" w:hAnsi="Times New Roman" w:cs="Times New Roman"/>
          <w:sz w:val="24"/>
          <w:szCs w:val="24"/>
          <w:u w:val="single"/>
        </w:rPr>
        <w:t>За спеціальним фондом передбачено наступні субвенції на:</w:t>
      </w:r>
    </w:p>
    <w:p w:rsidR="003F5355" w:rsidRPr="00554BF0" w:rsidRDefault="003F5355" w:rsidP="003F5355">
      <w:pPr>
        <w:pStyle w:val="a3"/>
        <w:numPr>
          <w:ilvl w:val="0"/>
          <w:numId w:val="15"/>
        </w:numPr>
        <w:tabs>
          <w:tab w:val="left" w:pos="0"/>
          <w:tab w:val="left" w:pos="851"/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BF0">
        <w:rPr>
          <w:rFonts w:ascii="Times New Roman" w:hAnsi="Times New Roman" w:cs="Times New Roman"/>
          <w:sz w:val="24"/>
          <w:szCs w:val="24"/>
        </w:rPr>
        <w:lastRenderedPageBreak/>
        <w:t>реформування регіональних систем охорони здоров’я для здійснення заходів з виконання спільного з Міжнародним банком реконструкції та розвитку про</w:t>
      </w:r>
      <w:r w:rsidR="007D0E1B">
        <w:rPr>
          <w:rFonts w:ascii="Times New Roman" w:hAnsi="Times New Roman" w:cs="Times New Roman"/>
          <w:sz w:val="24"/>
          <w:szCs w:val="24"/>
        </w:rPr>
        <w:t>е</w:t>
      </w:r>
      <w:r w:rsidRPr="00554BF0">
        <w:rPr>
          <w:rFonts w:ascii="Times New Roman" w:hAnsi="Times New Roman" w:cs="Times New Roman"/>
          <w:sz w:val="24"/>
          <w:szCs w:val="24"/>
        </w:rPr>
        <w:t xml:space="preserve">кту "Поліпшення охорони здоров’я на службі у людей" – </w:t>
      </w:r>
      <w:r w:rsidR="00BD53E8" w:rsidRPr="00554BF0">
        <w:rPr>
          <w:rFonts w:ascii="Times New Roman" w:hAnsi="Times New Roman" w:cs="Times New Roman"/>
          <w:sz w:val="24"/>
          <w:szCs w:val="24"/>
        </w:rPr>
        <w:t>555</w:t>
      </w:r>
      <w:r w:rsidRPr="00554BF0">
        <w:rPr>
          <w:rFonts w:ascii="Times New Roman" w:hAnsi="Times New Roman" w:cs="Times New Roman"/>
          <w:sz w:val="24"/>
          <w:szCs w:val="24"/>
        </w:rPr>
        <w:t>,</w:t>
      </w:r>
      <w:r w:rsidR="00BD53E8" w:rsidRPr="00554BF0">
        <w:rPr>
          <w:rFonts w:ascii="Times New Roman" w:hAnsi="Times New Roman" w:cs="Times New Roman"/>
          <w:sz w:val="24"/>
          <w:szCs w:val="24"/>
        </w:rPr>
        <w:t>0</w:t>
      </w:r>
      <w:r w:rsidRPr="00554BF0">
        <w:rPr>
          <w:rFonts w:ascii="Times New Roman" w:hAnsi="Times New Roman" w:cs="Times New Roman"/>
          <w:sz w:val="24"/>
          <w:szCs w:val="24"/>
        </w:rPr>
        <w:t> млн грн;</w:t>
      </w:r>
      <w:r w:rsidRPr="00554BF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F5355" w:rsidRPr="00554BF0" w:rsidRDefault="003F5355" w:rsidP="003F5355">
      <w:pPr>
        <w:pStyle w:val="a3"/>
        <w:numPr>
          <w:ilvl w:val="0"/>
          <w:numId w:val="15"/>
        </w:numPr>
        <w:tabs>
          <w:tab w:val="left" w:pos="0"/>
          <w:tab w:val="left" w:pos="851"/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BF0">
        <w:rPr>
          <w:rFonts w:ascii="Times New Roman" w:hAnsi="Times New Roman" w:cs="Times New Roman"/>
          <w:sz w:val="24"/>
          <w:szCs w:val="24"/>
        </w:rPr>
        <w:t>реалізацію про</w:t>
      </w:r>
      <w:r w:rsidR="00BD53E8" w:rsidRPr="00554BF0">
        <w:rPr>
          <w:rFonts w:ascii="Times New Roman" w:hAnsi="Times New Roman" w:cs="Times New Roman"/>
          <w:sz w:val="24"/>
          <w:szCs w:val="24"/>
        </w:rPr>
        <w:t>е</w:t>
      </w:r>
      <w:r w:rsidRPr="00554BF0">
        <w:rPr>
          <w:rFonts w:ascii="Times New Roman" w:hAnsi="Times New Roman" w:cs="Times New Roman"/>
          <w:sz w:val="24"/>
          <w:szCs w:val="24"/>
        </w:rPr>
        <w:t>ктів у рамках Надзвичайної кредитної програми для відновлення України – 1 </w:t>
      </w:r>
      <w:r w:rsidR="00BD53E8" w:rsidRPr="00554BF0">
        <w:rPr>
          <w:rFonts w:ascii="Times New Roman" w:hAnsi="Times New Roman" w:cs="Times New Roman"/>
          <w:sz w:val="24"/>
          <w:szCs w:val="24"/>
        </w:rPr>
        <w:t>2</w:t>
      </w:r>
      <w:r w:rsidRPr="00554BF0">
        <w:rPr>
          <w:rFonts w:ascii="Times New Roman" w:hAnsi="Times New Roman" w:cs="Times New Roman"/>
          <w:sz w:val="24"/>
          <w:szCs w:val="24"/>
        </w:rPr>
        <w:t>00,0 млн грн;</w:t>
      </w:r>
    </w:p>
    <w:p w:rsidR="003F5355" w:rsidRPr="00554BF0" w:rsidRDefault="003F5355" w:rsidP="003F5355">
      <w:pPr>
        <w:pStyle w:val="a3"/>
        <w:numPr>
          <w:ilvl w:val="0"/>
          <w:numId w:val="15"/>
        </w:numPr>
        <w:tabs>
          <w:tab w:val="left" w:pos="0"/>
          <w:tab w:val="left" w:pos="851"/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BF0">
        <w:rPr>
          <w:rFonts w:ascii="Times New Roman" w:hAnsi="Times New Roman" w:cs="Times New Roman"/>
          <w:sz w:val="24"/>
          <w:szCs w:val="24"/>
        </w:rPr>
        <w:t>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– 2</w:t>
      </w:r>
      <w:r w:rsidR="00BD53E8" w:rsidRPr="00554BF0">
        <w:rPr>
          <w:rFonts w:ascii="Times New Roman" w:hAnsi="Times New Roman" w:cs="Times New Roman"/>
          <w:sz w:val="24"/>
          <w:szCs w:val="24"/>
        </w:rPr>
        <w:t>1 343,6</w:t>
      </w:r>
      <w:r w:rsidRPr="00554BF0">
        <w:rPr>
          <w:rFonts w:ascii="Times New Roman" w:hAnsi="Times New Roman" w:cs="Times New Roman"/>
          <w:sz w:val="24"/>
          <w:szCs w:val="24"/>
        </w:rPr>
        <w:t> млн грн</w:t>
      </w:r>
      <w:r w:rsidR="00554BF0" w:rsidRPr="00554BF0">
        <w:rPr>
          <w:rFonts w:ascii="Times New Roman" w:hAnsi="Times New Roman" w:cs="Times New Roman"/>
          <w:sz w:val="24"/>
          <w:szCs w:val="24"/>
        </w:rPr>
        <w:t>;</w:t>
      </w:r>
    </w:p>
    <w:p w:rsidR="003F5355" w:rsidRPr="007611FB" w:rsidRDefault="003F5355" w:rsidP="003F5355">
      <w:pPr>
        <w:pStyle w:val="a3"/>
        <w:numPr>
          <w:ilvl w:val="0"/>
          <w:numId w:val="15"/>
        </w:numPr>
        <w:tabs>
          <w:tab w:val="left" w:pos="0"/>
          <w:tab w:val="left" w:pos="851"/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1FB">
        <w:rPr>
          <w:rFonts w:ascii="Times New Roman" w:hAnsi="Times New Roman" w:cs="Times New Roman"/>
          <w:sz w:val="24"/>
          <w:szCs w:val="24"/>
        </w:rPr>
        <w:t>продовження третьої лінії метрополітену у м. Харкові – 3</w:t>
      </w:r>
      <w:r w:rsidR="00BD53E8">
        <w:rPr>
          <w:rFonts w:ascii="Times New Roman" w:hAnsi="Times New Roman" w:cs="Times New Roman"/>
          <w:sz w:val="24"/>
          <w:szCs w:val="24"/>
        </w:rPr>
        <w:t>10</w:t>
      </w:r>
      <w:r w:rsidRPr="007611FB">
        <w:rPr>
          <w:rFonts w:ascii="Times New Roman" w:hAnsi="Times New Roman" w:cs="Times New Roman"/>
          <w:sz w:val="24"/>
          <w:szCs w:val="24"/>
        </w:rPr>
        <w:t>,</w:t>
      </w:r>
      <w:r w:rsidR="00BD53E8">
        <w:rPr>
          <w:rFonts w:ascii="Times New Roman" w:hAnsi="Times New Roman" w:cs="Times New Roman"/>
          <w:sz w:val="24"/>
          <w:szCs w:val="24"/>
        </w:rPr>
        <w:t>0</w:t>
      </w:r>
      <w:r w:rsidRPr="007611FB">
        <w:rPr>
          <w:rFonts w:ascii="Times New Roman" w:hAnsi="Times New Roman" w:cs="Times New Roman"/>
          <w:sz w:val="24"/>
          <w:szCs w:val="24"/>
        </w:rPr>
        <w:t> млн грн;</w:t>
      </w:r>
      <w:r w:rsidRPr="007611F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F5355" w:rsidRPr="00C23395" w:rsidRDefault="003F5355" w:rsidP="003F5355">
      <w:pPr>
        <w:pStyle w:val="a3"/>
        <w:numPr>
          <w:ilvl w:val="0"/>
          <w:numId w:val="15"/>
        </w:numPr>
        <w:tabs>
          <w:tab w:val="left" w:pos="0"/>
          <w:tab w:val="left" w:pos="851"/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pacing w:val="-5"/>
          <w:sz w:val="24"/>
          <w:szCs w:val="24"/>
        </w:rPr>
      </w:pPr>
      <w:r w:rsidRPr="007611FB">
        <w:rPr>
          <w:rFonts w:ascii="Times New Roman" w:hAnsi="Times New Roman" w:cs="Times New Roman"/>
          <w:spacing w:val="-5"/>
          <w:sz w:val="24"/>
          <w:szCs w:val="24"/>
        </w:rPr>
        <w:t>завершення будівництва метрополітену у м. Дніпрі –</w:t>
      </w:r>
      <w:r w:rsidR="00BD53E8">
        <w:rPr>
          <w:rFonts w:ascii="Times New Roman" w:hAnsi="Times New Roman" w:cs="Times New Roman"/>
          <w:spacing w:val="-5"/>
          <w:sz w:val="24"/>
          <w:szCs w:val="24"/>
        </w:rPr>
        <w:t> 1</w:t>
      </w:r>
      <w:r w:rsidRPr="007611FB">
        <w:rPr>
          <w:rFonts w:ascii="Times New Roman" w:hAnsi="Times New Roman" w:cs="Times New Roman"/>
          <w:spacing w:val="-5"/>
          <w:sz w:val="24"/>
          <w:szCs w:val="24"/>
        </w:rPr>
        <w:t> </w:t>
      </w:r>
      <w:r w:rsidR="00BD53E8">
        <w:rPr>
          <w:rFonts w:ascii="Times New Roman" w:hAnsi="Times New Roman" w:cs="Times New Roman"/>
          <w:spacing w:val="-5"/>
          <w:sz w:val="24"/>
          <w:szCs w:val="24"/>
        </w:rPr>
        <w:t>00</w:t>
      </w:r>
      <w:r w:rsidRPr="007611FB">
        <w:rPr>
          <w:rFonts w:ascii="Times New Roman" w:hAnsi="Times New Roman" w:cs="Times New Roman"/>
          <w:spacing w:val="-5"/>
          <w:sz w:val="24"/>
          <w:szCs w:val="24"/>
        </w:rPr>
        <w:t>0,0 млн гривень.</w:t>
      </w:r>
    </w:p>
    <w:p w:rsidR="00BD53E8" w:rsidRDefault="00BD53E8" w:rsidP="00BD53E8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3E8">
        <w:rPr>
          <w:rFonts w:ascii="Times New Roman" w:hAnsi="Times New Roman" w:cs="Times New Roman"/>
          <w:sz w:val="24"/>
          <w:szCs w:val="24"/>
        </w:rPr>
        <w:t>В рамках реалізації основного етапу децентралізації влади та реформи місцевого самоврядування завершився процес формування адміністративно-територіального устрою базового та субрегіонального рівня.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3E8" w:rsidRDefault="00BD53E8" w:rsidP="004559EC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3E8">
        <w:rPr>
          <w:rFonts w:ascii="Times New Roman" w:hAnsi="Times New Roman" w:cs="Times New Roman"/>
          <w:sz w:val="24"/>
          <w:szCs w:val="24"/>
        </w:rPr>
        <w:t xml:space="preserve">На виконання Закону України від 16.04.2020 № 562-IX </w:t>
      </w:r>
      <w:r w:rsidR="00C23395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BD53E8">
        <w:rPr>
          <w:rFonts w:ascii="Times New Roman" w:hAnsi="Times New Roman" w:cs="Times New Roman"/>
          <w:sz w:val="24"/>
          <w:szCs w:val="24"/>
        </w:rPr>
        <w:t>Про внесення змін до деяких законів України щодо визначення територій та адміністративних центрів територіальних громад</w:t>
      </w:r>
      <w:r w:rsidR="00C23395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D53E8">
        <w:rPr>
          <w:rFonts w:ascii="Times New Roman" w:hAnsi="Times New Roman" w:cs="Times New Roman"/>
          <w:sz w:val="24"/>
          <w:szCs w:val="24"/>
        </w:rPr>
        <w:t xml:space="preserve"> прийняті розпорядження Кабінету Міністрів України від 12 червня 2020</w:t>
      </w:r>
      <w:r w:rsidR="004559EC">
        <w:rPr>
          <w:rFonts w:ascii="Times New Roman" w:hAnsi="Times New Roman" w:cs="Times New Roman"/>
          <w:sz w:val="24"/>
          <w:szCs w:val="24"/>
        </w:rPr>
        <w:t xml:space="preserve"> року </w:t>
      </w:r>
      <w:r w:rsidRPr="00BD53E8">
        <w:rPr>
          <w:rFonts w:ascii="Times New Roman" w:hAnsi="Times New Roman" w:cs="Times New Roman"/>
          <w:sz w:val="24"/>
          <w:szCs w:val="24"/>
        </w:rPr>
        <w:t>№ 707-р, № 708-р, № 709-р, № 710-р, № 711-р, № 712-р, № 713-р, № 714-р, № 715-р, № 716-р, № 717-р, № 718-р, № 719-р, № 720-р, № 721-р, № 722-р, № 723-р, № 724-р, № 725-р, № 726-р, № 727-р, № 728-р, № 729-р, № 730-р, якими затверджено території територіальних громад усіх областей.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3E8" w:rsidRDefault="00BD53E8" w:rsidP="00BD53E8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3E8">
        <w:rPr>
          <w:rFonts w:ascii="Times New Roman" w:hAnsi="Times New Roman" w:cs="Times New Roman"/>
          <w:sz w:val="24"/>
          <w:szCs w:val="24"/>
        </w:rPr>
        <w:t xml:space="preserve">Також Постановою Верховної Ради України від 17.07.2020 № 807-IX </w:t>
      </w:r>
      <w:r w:rsidR="00C23395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BD53E8">
        <w:rPr>
          <w:rFonts w:ascii="Times New Roman" w:hAnsi="Times New Roman" w:cs="Times New Roman"/>
          <w:sz w:val="24"/>
          <w:szCs w:val="24"/>
        </w:rPr>
        <w:t>Про утворення та ліквідацію районів</w:t>
      </w:r>
      <w:r w:rsidR="00C23395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D53E8">
        <w:rPr>
          <w:rFonts w:ascii="Times New Roman" w:hAnsi="Times New Roman" w:cs="Times New Roman"/>
          <w:sz w:val="24"/>
          <w:szCs w:val="24"/>
        </w:rPr>
        <w:t xml:space="preserve"> забезпечено укрупнення районів та зменшено їх кількість до 136.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3E8" w:rsidRDefault="00BD53E8" w:rsidP="00BD53E8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3E8">
        <w:rPr>
          <w:rFonts w:ascii="Times New Roman" w:hAnsi="Times New Roman" w:cs="Times New Roman"/>
          <w:sz w:val="24"/>
          <w:szCs w:val="24"/>
        </w:rPr>
        <w:t xml:space="preserve">Перші місцеві вибори у новостворених територіальних громадах призначено на 25 жовтня 2020 року (Постанова Центральної виборчої комісії від 8 серпня 2020 р. №160).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3E8" w:rsidRDefault="00BD53E8" w:rsidP="00BD53E8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3E8">
        <w:rPr>
          <w:rFonts w:ascii="Times New Roman" w:hAnsi="Times New Roman" w:cs="Times New Roman"/>
          <w:sz w:val="24"/>
          <w:szCs w:val="24"/>
        </w:rPr>
        <w:t>Відповідно до пункту 6 Прикінцевих та перехідних положень Бюджетного кодексу України формування взаємовідносин між державним бюджетом та місцевими бюджетами на 2021 рік здійснюється з урахуванням змін в адміністративно-територіальному устрої України в частині укрупнення адміністративно-територіальних одиниць.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3E8" w:rsidRDefault="00BD53E8" w:rsidP="00BD53E8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3E8">
        <w:rPr>
          <w:rFonts w:ascii="Times New Roman" w:hAnsi="Times New Roman" w:cs="Times New Roman"/>
          <w:sz w:val="24"/>
          <w:szCs w:val="24"/>
        </w:rPr>
        <w:t>З урахуванням зазначеного у додатку 5 до проекту Закону передбачено обсяги міжбюджетних трансфертів для бюджетів 1 438 територіальних громад, у яких перші місцеві вибори призначені на 25 жовтня 2020 року</w:t>
      </w:r>
      <w:r w:rsidR="00FC6C07">
        <w:rPr>
          <w:rFonts w:ascii="Times New Roman" w:hAnsi="Times New Roman" w:cs="Times New Roman"/>
          <w:sz w:val="24"/>
          <w:szCs w:val="24"/>
        </w:rPr>
        <w:t xml:space="preserve">, </w:t>
      </w:r>
      <w:r w:rsidR="00FA312A">
        <w:rPr>
          <w:rFonts w:ascii="Times New Roman" w:hAnsi="Times New Roman" w:cs="Times New Roman"/>
          <w:sz w:val="24"/>
          <w:szCs w:val="24"/>
        </w:rPr>
        <w:t>та</w:t>
      </w:r>
      <w:r w:rsidR="00FC6C07">
        <w:rPr>
          <w:rFonts w:ascii="Times New Roman" w:hAnsi="Times New Roman" w:cs="Times New Roman"/>
          <w:sz w:val="24"/>
          <w:szCs w:val="24"/>
        </w:rPr>
        <w:t xml:space="preserve"> 24 обласних бюджетів</w:t>
      </w:r>
      <w:r w:rsidRPr="00BD53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53E8" w:rsidRDefault="00BD53E8" w:rsidP="00BD53E8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3E8">
        <w:rPr>
          <w:rFonts w:ascii="Times New Roman" w:hAnsi="Times New Roman" w:cs="Times New Roman"/>
          <w:sz w:val="24"/>
          <w:szCs w:val="24"/>
        </w:rPr>
        <w:t xml:space="preserve">Обсяг державної фінансової підтримки на реалізацію інвестиційних програм і проектів регіонального розвитку на </w:t>
      </w:r>
      <w:r w:rsidRPr="004A42ED">
        <w:rPr>
          <w:rFonts w:ascii="Times New Roman" w:hAnsi="Times New Roman" w:cs="Times New Roman"/>
          <w:sz w:val="24"/>
          <w:szCs w:val="24"/>
        </w:rPr>
        <w:t>наступний рік передбачається за рахунок коштів Державного фонду регіонального розвитку в сумі 9 </w:t>
      </w:r>
      <w:r w:rsidR="004A42ED" w:rsidRPr="004A42ED">
        <w:rPr>
          <w:rFonts w:ascii="Times New Roman" w:hAnsi="Times New Roman" w:cs="Times New Roman"/>
          <w:sz w:val="24"/>
          <w:szCs w:val="24"/>
        </w:rPr>
        <w:t>360</w:t>
      </w:r>
      <w:r w:rsidRPr="004A42ED">
        <w:rPr>
          <w:rFonts w:ascii="Times New Roman" w:hAnsi="Times New Roman" w:cs="Times New Roman"/>
          <w:sz w:val="24"/>
          <w:szCs w:val="24"/>
        </w:rPr>
        <w:t>,0 млн</w:t>
      </w:r>
      <w:r w:rsidRPr="00BD53E8">
        <w:rPr>
          <w:rFonts w:ascii="Times New Roman" w:hAnsi="Times New Roman" w:cs="Times New Roman"/>
          <w:sz w:val="24"/>
          <w:szCs w:val="24"/>
        </w:rPr>
        <w:t> гривень.</w:t>
      </w:r>
    </w:p>
    <w:p w:rsidR="00F61586" w:rsidRPr="0033090F" w:rsidRDefault="00F61586" w:rsidP="006F1EE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61586" w:rsidRPr="0033090F" w:rsidSect="00FC6C07">
      <w:headerReference w:type="default" r:id="rId8"/>
      <w:pgSz w:w="11906" w:h="16838"/>
      <w:pgMar w:top="989" w:right="850" w:bottom="850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95" w:rsidRDefault="00C65195" w:rsidP="00FC6C07">
      <w:pPr>
        <w:spacing w:after="0" w:line="240" w:lineRule="auto"/>
      </w:pPr>
      <w:r>
        <w:separator/>
      </w:r>
    </w:p>
  </w:endnote>
  <w:endnote w:type="continuationSeparator" w:id="0">
    <w:p w:rsidR="00C65195" w:rsidRDefault="00C65195" w:rsidP="00FC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95" w:rsidRDefault="00C65195" w:rsidP="00FC6C07">
      <w:pPr>
        <w:spacing w:after="0" w:line="240" w:lineRule="auto"/>
      </w:pPr>
      <w:r>
        <w:separator/>
      </w:r>
    </w:p>
  </w:footnote>
  <w:footnote w:type="continuationSeparator" w:id="0">
    <w:p w:rsidR="00C65195" w:rsidRDefault="00C65195" w:rsidP="00FC6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4734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C6C07" w:rsidRPr="00FC6C07" w:rsidRDefault="00FC6C07" w:rsidP="00FC6C07">
        <w:pPr>
          <w:pStyle w:val="a6"/>
          <w:jc w:val="center"/>
          <w:rPr>
            <w:rFonts w:ascii="Times New Roman" w:hAnsi="Times New Roman" w:cs="Times New Roman"/>
          </w:rPr>
        </w:pPr>
        <w:r w:rsidRPr="00FC6C07">
          <w:rPr>
            <w:rFonts w:ascii="Times New Roman" w:hAnsi="Times New Roman" w:cs="Times New Roman"/>
          </w:rPr>
          <w:fldChar w:fldCharType="begin"/>
        </w:r>
        <w:r w:rsidRPr="00FC6C07">
          <w:rPr>
            <w:rFonts w:ascii="Times New Roman" w:hAnsi="Times New Roman" w:cs="Times New Roman"/>
          </w:rPr>
          <w:instrText>PAGE   \* MERGEFORMAT</w:instrText>
        </w:r>
        <w:r w:rsidRPr="00FC6C07">
          <w:rPr>
            <w:rFonts w:ascii="Times New Roman" w:hAnsi="Times New Roman" w:cs="Times New Roman"/>
          </w:rPr>
          <w:fldChar w:fldCharType="separate"/>
        </w:r>
        <w:r w:rsidR="00270D7A">
          <w:rPr>
            <w:rFonts w:ascii="Times New Roman" w:hAnsi="Times New Roman" w:cs="Times New Roman"/>
            <w:noProof/>
          </w:rPr>
          <w:t>2</w:t>
        </w:r>
        <w:r w:rsidRPr="00FC6C0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71BF"/>
    <w:multiLevelType w:val="hybridMultilevel"/>
    <w:tmpl w:val="54EEA364"/>
    <w:lvl w:ilvl="0" w:tplc="5F84C384">
      <w:start w:val="9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34ECC"/>
    <w:multiLevelType w:val="hybridMultilevel"/>
    <w:tmpl w:val="7BCCA036"/>
    <w:lvl w:ilvl="0" w:tplc="954E6B0C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22A7D0B"/>
    <w:multiLevelType w:val="hybridMultilevel"/>
    <w:tmpl w:val="5AB2BCDE"/>
    <w:lvl w:ilvl="0" w:tplc="0422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12FC08AC"/>
    <w:multiLevelType w:val="hybridMultilevel"/>
    <w:tmpl w:val="F76692E6"/>
    <w:lvl w:ilvl="0" w:tplc="11D804F2">
      <w:start w:val="1"/>
      <w:numFmt w:val="bullet"/>
      <w:lvlText w:val="­"/>
      <w:lvlJc w:val="left"/>
      <w:pPr>
        <w:ind w:left="1211" w:hanging="360"/>
      </w:pPr>
      <w:rPr>
        <w:rFonts w:ascii="Courier New" w:hAnsi="Courier New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D21D55"/>
    <w:multiLevelType w:val="hybridMultilevel"/>
    <w:tmpl w:val="DE9A5216"/>
    <w:lvl w:ilvl="0" w:tplc="954E6B0C">
      <w:start w:val="1"/>
      <w:numFmt w:val="bullet"/>
      <w:lvlText w:val="­"/>
      <w:lvlJc w:val="left"/>
      <w:pPr>
        <w:ind w:left="8441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6D27D9"/>
    <w:multiLevelType w:val="hybridMultilevel"/>
    <w:tmpl w:val="2F681C8E"/>
    <w:lvl w:ilvl="0" w:tplc="1C16F4E8">
      <w:start w:val="94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5C40A59"/>
    <w:multiLevelType w:val="hybridMultilevel"/>
    <w:tmpl w:val="8FB80BCE"/>
    <w:lvl w:ilvl="0" w:tplc="04190005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7">
    <w:nsid w:val="2A302EFE"/>
    <w:multiLevelType w:val="hybridMultilevel"/>
    <w:tmpl w:val="E5184928"/>
    <w:lvl w:ilvl="0" w:tplc="954E6B0C">
      <w:start w:val="1"/>
      <w:numFmt w:val="bullet"/>
      <w:lvlText w:val="­"/>
      <w:lvlJc w:val="left"/>
      <w:pPr>
        <w:ind w:left="4472" w:hanging="360"/>
      </w:pPr>
      <w:rPr>
        <w:rFonts w:ascii="Courier New" w:hAnsi="Courier New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-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</w:abstractNum>
  <w:abstractNum w:abstractNumId="8">
    <w:nsid w:val="36AD44DA"/>
    <w:multiLevelType w:val="hybridMultilevel"/>
    <w:tmpl w:val="1374B846"/>
    <w:lvl w:ilvl="0" w:tplc="1C6E2D8E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73F1B03"/>
    <w:multiLevelType w:val="hybridMultilevel"/>
    <w:tmpl w:val="93ACABE8"/>
    <w:lvl w:ilvl="0" w:tplc="0422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0">
    <w:nsid w:val="5DD17496"/>
    <w:multiLevelType w:val="hybridMultilevel"/>
    <w:tmpl w:val="F61E88EE"/>
    <w:lvl w:ilvl="0" w:tplc="954E6B0C">
      <w:start w:val="1"/>
      <w:numFmt w:val="bullet"/>
      <w:lvlText w:val="­"/>
      <w:lvlJc w:val="left"/>
      <w:pPr>
        <w:ind w:left="1211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1">
    <w:nsid w:val="60B71867"/>
    <w:multiLevelType w:val="hybridMultilevel"/>
    <w:tmpl w:val="D9F29D80"/>
    <w:lvl w:ilvl="0" w:tplc="0422000B">
      <w:start w:val="1"/>
      <w:numFmt w:val="bullet"/>
      <w:lvlText w:val=""/>
      <w:lvlJc w:val="left"/>
      <w:pPr>
        <w:ind w:left="447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-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</w:abstractNum>
  <w:abstractNum w:abstractNumId="12">
    <w:nsid w:val="61FF3BE8"/>
    <w:multiLevelType w:val="hybridMultilevel"/>
    <w:tmpl w:val="F8764D98"/>
    <w:lvl w:ilvl="0" w:tplc="0422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3">
    <w:nsid w:val="65304212"/>
    <w:multiLevelType w:val="hybridMultilevel"/>
    <w:tmpl w:val="8DB26A80"/>
    <w:lvl w:ilvl="0" w:tplc="547218A4">
      <w:numFmt w:val="bullet"/>
      <w:lvlText w:val="–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9053D30"/>
    <w:multiLevelType w:val="hybridMultilevel"/>
    <w:tmpl w:val="02863F64"/>
    <w:lvl w:ilvl="0" w:tplc="9030F268">
      <w:start w:val="504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9484858"/>
    <w:multiLevelType w:val="hybridMultilevel"/>
    <w:tmpl w:val="41E2D8A6"/>
    <w:lvl w:ilvl="0" w:tplc="954E6B0C">
      <w:start w:val="1"/>
      <w:numFmt w:val="bullet"/>
      <w:lvlText w:val="­"/>
      <w:lvlJc w:val="left"/>
      <w:pPr>
        <w:ind w:left="6740" w:hanging="360"/>
      </w:pPr>
      <w:rPr>
        <w:rFonts w:ascii="Courier New" w:hAnsi="Courier New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78F527FA"/>
    <w:multiLevelType w:val="hybridMultilevel"/>
    <w:tmpl w:val="9CE6C0CC"/>
    <w:lvl w:ilvl="0" w:tplc="0422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-30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-23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-1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-9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-2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</w:abstractNum>
  <w:abstractNum w:abstractNumId="17">
    <w:nsid w:val="7F412C70"/>
    <w:multiLevelType w:val="hybridMultilevel"/>
    <w:tmpl w:val="11F40568"/>
    <w:lvl w:ilvl="0" w:tplc="0422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2"/>
  </w:num>
  <w:num w:numId="5">
    <w:abstractNumId w:val="17"/>
  </w:num>
  <w:num w:numId="6">
    <w:abstractNumId w:val="8"/>
  </w:num>
  <w:num w:numId="7">
    <w:abstractNumId w:val="11"/>
  </w:num>
  <w:num w:numId="8">
    <w:abstractNumId w:val="15"/>
  </w:num>
  <w:num w:numId="9">
    <w:abstractNumId w:val="1"/>
  </w:num>
  <w:num w:numId="10">
    <w:abstractNumId w:val="16"/>
  </w:num>
  <w:num w:numId="11">
    <w:abstractNumId w:val="3"/>
  </w:num>
  <w:num w:numId="12">
    <w:abstractNumId w:val="10"/>
  </w:num>
  <w:num w:numId="13">
    <w:abstractNumId w:val="12"/>
  </w:num>
  <w:num w:numId="14">
    <w:abstractNumId w:val="4"/>
  </w:num>
  <w:num w:numId="15">
    <w:abstractNumId w:val="7"/>
  </w:num>
  <w:num w:numId="16">
    <w:abstractNumId w:val="14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55"/>
    <w:rsid w:val="0001397E"/>
    <w:rsid w:val="0003560C"/>
    <w:rsid w:val="000567AE"/>
    <w:rsid w:val="000630DC"/>
    <w:rsid w:val="000A200C"/>
    <w:rsid w:val="000B3FE2"/>
    <w:rsid w:val="00153CD0"/>
    <w:rsid w:val="001D7423"/>
    <w:rsid w:val="00200450"/>
    <w:rsid w:val="00256DD9"/>
    <w:rsid w:val="00267195"/>
    <w:rsid w:val="00270D7A"/>
    <w:rsid w:val="002E61CF"/>
    <w:rsid w:val="00304595"/>
    <w:rsid w:val="00322AE0"/>
    <w:rsid w:val="0033090F"/>
    <w:rsid w:val="003D707C"/>
    <w:rsid w:val="003F5355"/>
    <w:rsid w:val="00431667"/>
    <w:rsid w:val="004370D4"/>
    <w:rsid w:val="00450418"/>
    <w:rsid w:val="004559EC"/>
    <w:rsid w:val="00474AE8"/>
    <w:rsid w:val="004A42ED"/>
    <w:rsid w:val="004C13F3"/>
    <w:rsid w:val="004E0553"/>
    <w:rsid w:val="00520C23"/>
    <w:rsid w:val="00554BF0"/>
    <w:rsid w:val="005D1B72"/>
    <w:rsid w:val="006064CC"/>
    <w:rsid w:val="006505DF"/>
    <w:rsid w:val="006F1EEB"/>
    <w:rsid w:val="006F7DF3"/>
    <w:rsid w:val="00747416"/>
    <w:rsid w:val="00765333"/>
    <w:rsid w:val="00770A1E"/>
    <w:rsid w:val="00770E26"/>
    <w:rsid w:val="007838FB"/>
    <w:rsid w:val="007A1C80"/>
    <w:rsid w:val="007D0E1B"/>
    <w:rsid w:val="007F7B30"/>
    <w:rsid w:val="0082757F"/>
    <w:rsid w:val="008D4874"/>
    <w:rsid w:val="008E19F5"/>
    <w:rsid w:val="008E26AF"/>
    <w:rsid w:val="009C24AB"/>
    <w:rsid w:val="00A044E2"/>
    <w:rsid w:val="00A64DAE"/>
    <w:rsid w:val="00A71621"/>
    <w:rsid w:val="00AB5558"/>
    <w:rsid w:val="00AC3CDB"/>
    <w:rsid w:val="00B32184"/>
    <w:rsid w:val="00B37427"/>
    <w:rsid w:val="00B70053"/>
    <w:rsid w:val="00BD53E8"/>
    <w:rsid w:val="00C23395"/>
    <w:rsid w:val="00C31698"/>
    <w:rsid w:val="00C342B4"/>
    <w:rsid w:val="00C51491"/>
    <w:rsid w:val="00C65195"/>
    <w:rsid w:val="00CB42AE"/>
    <w:rsid w:val="00D01510"/>
    <w:rsid w:val="00D12656"/>
    <w:rsid w:val="00D91605"/>
    <w:rsid w:val="00DF322B"/>
    <w:rsid w:val="00E96507"/>
    <w:rsid w:val="00EB7F91"/>
    <w:rsid w:val="00ED52B7"/>
    <w:rsid w:val="00F61586"/>
    <w:rsid w:val="00F86177"/>
    <w:rsid w:val="00FA312A"/>
    <w:rsid w:val="00FC6C07"/>
    <w:rsid w:val="00FD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355"/>
    <w:pPr>
      <w:ind w:left="720"/>
      <w:contextualSpacing/>
    </w:pPr>
  </w:style>
  <w:style w:type="paragraph" w:customStyle="1" w:styleId="StyleZakonu">
    <w:name w:val="StyleZakonu Знак"/>
    <w:basedOn w:val="a"/>
    <w:link w:val="StyleZakonu0"/>
    <w:rsid w:val="003F5355"/>
    <w:pPr>
      <w:spacing w:before="120"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StyleZakonu0">
    <w:name w:val="StyleZakonu Знак Знак"/>
    <w:link w:val="StyleZakonu"/>
    <w:locked/>
    <w:rsid w:val="003F53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unhideWhenUsed/>
    <w:rsid w:val="00C34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B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6C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6C07"/>
  </w:style>
  <w:style w:type="paragraph" w:styleId="a8">
    <w:name w:val="footer"/>
    <w:basedOn w:val="a"/>
    <w:link w:val="a9"/>
    <w:uiPriority w:val="99"/>
    <w:unhideWhenUsed/>
    <w:rsid w:val="00FC6C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6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355"/>
    <w:pPr>
      <w:ind w:left="720"/>
      <w:contextualSpacing/>
    </w:pPr>
  </w:style>
  <w:style w:type="paragraph" w:customStyle="1" w:styleId="StyleZakonu">
    <w:name w:val="StyleZakonu Знак"/>
    <w:basedOn w:val="a"/>
    <w:link w:val="StyleZakonu0"/>
    <w:rsid w:val="003F5355"/>
    <w:pPr>
      <w:spacing w:before="120"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StyleZakonu0">
    <w:name w:val="StyleZakonu Знак Знак"/>
    <w:link w:val="StyleZakonu"/>
    <w:locked/>
    <w:rsid w:val="003F53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unhideWhenUsed/>
    <w:rsid w:val="00C34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B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6C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6C07"/>
  </w:style>
  <w:style w:type="paragraph" w:styleId="a8">
    <w:name w:val="footer"/>
    <w:basedOn w:val="a"/>
    <w:link w:val="a9"/>
    <w:uiPriority w:val="99"/>
    <w:unhideWhenUsed/>
    <w:rsid w:val="00FC6C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10533</Words>
  <Characters>6004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16504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Диченко Алла Миколаївна</dc:creator>
  <cp:lastModifiedBy>User</cp:lastModifiedBy>
  <cp:revision>2</cp:revision>
  <cp:lastPrinted>2020-09-12T16:31:00Z</cp:lastPrinted>
  <dcterms:created xsi:type="dcterms:W3CDTF">2020-09-30T09:20:00Z</dcterms:created>
  <dcterms:modified xsi:type="dcterms:W3CDTF">2020-09-30T09:20:00Z</dcterms:modified>
</cp:coreProperties>
</file>